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010" w14:textId="606C8065"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98040A">
        <w:rPr>
          <w:rFonts w:ascii="Arial" w:hAnsi="Arial" w:cs="Arial"/>
          <w:b/>
          <w:sz w:val="24"/>
        </w:rPr>
        <w:t>90</w:t>
      </w:r>
      <w:r w:rsidR="00F230D5">
        <w:rPr>
          <w:rFonts w:ascii="Arial" w:hAnsi="Arial" w:cs="Arial"/>
          <w:b/>
          <w:sz w:val="24"/>
        </w:rPr>
        <w:t>b</w:t>
      </w:r>
      <w:r w:rsidRPr="00DA12F7">
        <w:rPr>
          <w:rFonts w:ascii="Arial" w:hAnsi="Arial" w:cs="Arial"/>
          <w:b/>
          <w:sz w:val="24"/>
        </w:rPr>
        <w:tab/>
      </w:r>
      <w:r w:rsidR="006F4DDD" w:rsidRPr="006F4DDD">
        <w:rPr>
          <w:rFonts w:ascii="Arial" w:hAnsi="Arial" w:cs="Arial"/>
          <w:b/>
          <w:sz w:val="24"/>
        </w:rPr>
        <w:t>R1-1718110</w:t>
      </w:r>
      <w:bookmarkStart w:id="0" w:name="_GoBack"/>
      <w:bookmarkEnd w:id="0"/>
    </w:p>
    <w:p w14:paraId="13C19C48" w14:textId="449C891D" w:rsidR="00FD45CD" w:rsidRPr="00DA12F7" w:rsidRDefault="00F230D5" w:rsidP="00FD45CD">
      <w:pPr>
        <w:tabs>
          <w:tab w:val="right" w:pos="9630"/>
        </w:tabs>
        <w:spacing w:after="0"/>
        <w:rPr>
          <w:rFonts w:ascii="Arial" w:hAnsi="Arial" w:cs="Arial"/>
          <w:b/>
          <w:sz w:val="24"/>
          <w:szCs w:val="24"/>
        </w:rPr>
      </w:pPr>
      <w:r>
        <w:rPr>
          <w:rFonts w:ascii="Arial" w:hAnsi="Arial" w:cs="Arial"/>
          <w:b/>
          <w:sz w:val="24"/>
          <w:szCs w:val="24"/>
        </w:rPr>
        <w:t>October 9</w:t>
      </w:r>
      <w:r w:rsidRPr="00F230D5">
        <w:rPr>
          <w:rFonts w:ascii="Arial" w:hAnsi="Arial" w:cs="Arial"/>
          <w:b/>
          <w:sz w:val="24"/>
          <w:szCs w:val="24"/>
          <w:vertAlign w:val="superscript"/>
        </w:rPr>
        <w:t>th</w:t>
      </w:r>
      <w:r>
        <w:rPr>
          <w:rFonts w:ascii="Arial" w:hAnsi="Arial" w:cs="Arial"/>
          <w:b/>
          <w:sz w:val="24"/>
          <w:szCs w:val="24"/>
        </w:rPr>
        <w:t>-13</w:t>
      </w:r>
      <w:r w:rsidRPr="00F230D5">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4F2C95E4" w:rsidR="00FD45CD" w:rsidRPr="00DA12F7" w:rsidRDefault="0098040A" w:rsidP="00FD45CD">
      <w:pPr>
        <w:rPr>
          <w:rFonts w:ascii="Arial" w:hAnsi="Arial" w:cs="Arial"/>
          <w:b/>
          <w:sz w:val="24"/>
          <w:szCs w:val="24"/>
        </w:rPr>
      </w:pPr>
      <w:r>
        <w:rPr>
          <w:rFonts w:ascii="Arial" w:hAnsi="Arial" w:cs="Arial"/>
          <w:b/>
          <w:sz w:val="24"/>
          <w:szCs w:val="24"/>
        </w:rPr>
        <w:t>Prague</w:t>
      </w:r>
      <w:r w:rsidR="005A6B27">
        <w:rPr>
          <w:rFonts w:ascii="Arial" w:hAnsi="Arial" w:cs="Arial"/>
          <w:b/>
          <w:sz w:val="24"/>
          <w:szCs w:val="24"/>
        </w:rPr>
        <w:t xml:space="preserve">, </w:t>
      </w:r>
      <w:r w:rsidR="001F71A4">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304B4E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F230D5">
        <w:rPr>
          <w:rFonts w:ascii="Arial" w:hAnsi="Arial"/>
          <w:sz w:val="24"/>
        </w:rPr>
        <w:t>6</w:t>
      </w:r>
      <w:r w:rsidR="00D14560">
        <w:rPr>
          <w:rFonts w:ascii="Arial" w:hAnsi="Arial"/>
          <w:sz w:val="24"/>
        </w:rPr>
        <w:t>.</w:t>
      </w:r>
      <w:r w:rsidR="00B2388A">
        <w:rPr>
          <w:rFonts w:ascii="Arial" w:hAnsi="Arial"/>
          <w:sz w:val="24"/>
        </w:rPr>
        <w:t>2</w:t>
      </w:r>
      <w:r w:rsidR="00155BCB">
        <w:rPr>
          <w:rFonts w:ascii="Arial" w:hAnsi="Arial"/>
          <w:sz w:val="24"/>
        </w:rPr>
        <w:t>.</w:t>
      </w:r>
      <w:r w:rsidR="005A6B2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.4</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7E41E6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98040A">
        <w:rPr>
          <w:rFonts w:ascii="Arial" w:hAnsi="Arial"/>
          <w:sz w:val="24"/>
        </w:rPr>
        <w:t>s</w:t>
      </w:r>
      <w:r w:rsidR="00FB578A">
        <w:rPr>
          <w:rFonts w:ascii="Arial" w:hAnsi="Arial"/>
          <w:sz w:val="24"/>
        </w:rPr>
        <w:t>PDSCH</w:t>
      </w:r>
      <w:proofErr w:type="spellEnd"/>
      <w:r w:rsidR="0098040A">
        <w:rPr>
          <w:rFonts w:ascii="Arial" w:hAnsi="Arial"/>
          <w:sz w:val="24"/>
        </w:rPr>
        <w:t xml:space="preserve"> Design</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3DCDBD4D" w14:textId="5450DF16" w:rsidR="00F230D5" w:rsidRDefault="00F230D5" w:rsidP="00F30894">
      <w:pPr>
        <w:jc w:val="both"/>
      </w:pPr>
      <w:r>
        <w:t xml:space="preserve">Note: This paper is a revised version of </w:t>
      </w:r>
      <w:r w:rsidRPr="00F230D5">
        <w:rPr>
          <w:bCs/>
          <w:szCs w:val="16"/>
        </w:rPr>
        <w:t>R1-1712787.</w:t>
      </w:r>
    </w:p>
    <w:p w14:paraId="19861971" w14:textId="561D5188" w:rsidR="004C7384" w:rsidRDefault="00D127A5" w:rsidP="00F30894">
      <w:pPr>
        <w:jc w:val="both"/>
      </w:pPr>
      <w:r>
        <w:t>In RAN1 #86b</w:t>
      </w:r>
      <w:r w:rsidR="0098040A">
        <w:t>,</w:t>
      </w:r>
      <w:r>
        <w:t xml:space="preserve"> #8</w:t>
      </w:r>
      <w:r w:rsidR="00260E90">
        <w:t>8b</w:t>
      </w:r>
      <w:r w:rsidR="0098040A">
        <w:t xml:space="preserve"> and #89</w:t>
      </w:r>
      <w:r>
        <w:t xml:space="preserve">, the following agreements </w:t>
      </w:r>
      <w:r w:rsidR="0098040A">
        <w:t>were</w:t>
      </w:r>
      <w:r>
        <w:t xml:space="preserve"> reached, respectively:</w:t>
      </w:r>
    </w:p>
    <w:p w14:paraId="4142B40A" w14:textId="14F5CA64" w:rsidR="00260E90" w:rsidRPr="00C12F18" w:rsidRDefault="00260E90" w:rsidP="00F30894">
      <w:pPr>
        <w:jc w:val="both"/>
        <w:rPr>
          <w:b/>
          <w:u w:val="single"/>
        </w:rPr>
      </w:pPr>
      <w:r w:rsidRPr="00C12F18">
        <w:rPr>
          <w:b/>
          <w:highlight w:val="green"/>
          <w:u w:val="single"/>
        </w:rPr>
        <w:t>Agreement:</w:t>
      </w:r>
    </w:p>
    <w:p w14:paraId="279A22E6" w14:textId="77777777" w:rsidR="00112035" w:rsidRPr="00D127A5" w:rsidRDefault="008830F5" w:rsidP="00D127A5">
      <w:pPr>
        <w:pStyle w:val="ListParagraph"/>
        <w:numPr>
          <w:ilvl w:val="0"/>
          <w:numId w:val="39"/>
        </w:numPr>
        <w:jc w:val="both"/>
        <w:rPr>
          <w:i/>
          <w:sz w:val="20"/>
        </w:rPr>
      </w:pPr>
      <w:r w:rsidRPr="00D127A5">
        <w:rPr>
          <w:rFonts w:eastAsiaTheme="minorEastAsia"/>
          <w:i/>
          <w:sz w:val="20"/>
        </w:rPr>
        <w:t xml:space="preserve">For DL transmission for </w:t>
      </w:r>
      <w:proofErr w:type="spellStart"/>
      <w:r w:rsidRPr="00D127A5">
        <w:rPr>
          <w:rFonts w:eastAsiaTheme="minorEastAsia"/>
          <w:i/>
          <w:sz w:val="20"/>
        </w:rPr>
        <w:t>sTTI</w:t>
      </w:r>
      <w:proofErr w:type="spellEnd"/>
    </w:p>
    <w:p w14:paraId="5F399836"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TM1, 2, 3, 4, 6, 9, 10 are supported for FS1.</w:t>
      </w:r>
    </w:p>
    <w:p w14:paraId="3F913479"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 xml:space="preserve">TM1, 2, 3, 4, 6, 8, 9, 10 are supported for slot based </w:t>
      </w:r>
      <w:proofErr w:type="spellStart"/>
      <w:r w:rsidRPr="00D127A5">
        <w:rPr>
          <w:rFonts w:eastAsiaTheme="minorEastAsia"/>
          <w:i/>
          <w:sz w:val="20"/>
        </w:rPr>
        <w:t>sTTI</w:t>
      </w:r>
      <w:proofErr w:type="spellEnd"/>
      <w:r w:rsidRPr="00D127A5">
        <w:rPr>
          <w:rFonts w:eastAsiaTheme="minorEastAsia"/>
          <w:i/>
          <w:sz w:val="20"/>
        </w:rPr>
        <w:t xml:space="preserve"> for FS2.</w:t>
      </w:r>
    </w:p>
    <w:p w14:paraId="4096CC2A" w14:textId="5D1048D7" w:rsidR="00112035" w:rsidRPr="00D127A5" w:rsidRDefault="008830F5" w:rsidP="00D127A5">
      <w:pPr>
        <w:pStyle w:val="ListParagraph"/>
        <w:numPr>
          <w:ilvl w:val="1"/>
          <w:numId w:val="39"/>
        </w:numPr>
        <w:jc w:val="both"/>
        <w:rPr>
          <w:i/>
          <w:sz w:val="20"/>
        </w:rPr>
      </w:pPr>
      <w:r w:rsidRPr="00D127A5">
        <w:rPr>
          <w:rFonts w:eastAsiaTheme="minorEastAsia"/>
          <w:i/>
          <w:sz w:val="20"/>
        </w:rPr>
        <w:t xml:space="preserve">Note: For 2 symbol </w:t>
      </w:r>
      <w:proofErr w:type="spellStart"/>
      <w:r w:rsidRPr="00D127A5">
        <w:rPr>
          <w:rFonts w:eastAsiaTheme="minorEastAsia"/>
          <w:i/>
          <w:sz w:val="20"/>
        </w:rPr>
        <w:t>sTTI</w:t>
      </w:r>
      <w:proofErr w:type="spellEnd"/>
      <w:r w:rsidRPr="00D127A5">
        <w:rPr>
          <w:rFonts w:eastAsiaTheme="minorEastAsia"/>
          <w:i/>
          <w:sz w:val="20"/>
        </w:rPr>
        <w:t xml:space="preserve"> design TM8 is not supported in this WI</w:t>
      </w:r>
      <w:r w:rsidR="00D127A5" w:rsidRPr="00D127A5">
        <w:rPr>
          <w:rFonts w:eastAsiaTheme="minorEastAsia"/>
          <w:i/>
          <w:sz w:val="20"/>
        </w:rPr>
        <w:t>.</w:t>
      </w:r>
    </w:p>
    <w:p w14:paraId="19368023" w14:textId="68419E40" w:rsidR="00260E90" w:rsidRPr="00C12F18" w:rsidRDefault="00260E90" w:rsidP="00C12F18">
      <w:pPr>
        <w:jc w:val="both"/>
        <w:rPr>
          <w:b/>
          <w:u w:val="single"/>
        </w:rPr>
      </w:pPr>
      <w:r w:rsidRPr="00C12F18">
        <w:rPr>
          <w:b/>
          <w:highlight w:val="green"/>
          <w:u w:val="single"/>
        </w:rPr>
        <w:t>Agreement:</w:t>
      </w:r>
    </w:p>
    <w:p w14:paraId="5ADE6C28" w14:textId="5B6F44BE" w:rsidR="00260E90" w:rsidRPr="00C12F18" w:rsidRDefault="00260E90" w:rsidP="00C12F18">
      <w:pPr>
        <w:pStyle w:val="ListParagraph"/>
        <w:numPr>
          <w:ilvl w:val="0"/>
          <w:numId w:val="39"/>
        </w:numPr>
        <w:rPr>
          <w:rFonts w:eastAsia="MS Mincho"/>
          <w:i/>
          <w:iCs/>
          <w:lang w:eastAsia="ja-JP"/>
        </w:rPr>
      </w:pPr>
      <w:r w:rsidRPr="00C12F18">
        <w:rPr>
          <w:rFonts w:eastAsia="MS Mincho"/>
          <w:i/>
          <w:iCs/>
          <w:sz w:val="20"/>
          <w:lang w:eastAsia="ja-JP"/>
        </w:rPr>
        <w:t xml:space="preserve">For 7-symbol </w:t>
      </w:r>
      <w:proofErr w:type="spellStart"/>
      <w:r w:rsidRPr="00C12F18">
        <w:rPr>
          <w:rFonts w:eastAsia="MS Mincho"/>
          <w:i/>
          <w:iCs/>
          <w:sz w:val="20"/>
          <w:lang w:eastAsia="ja-JP"/>
        </w:rPr>
        <w:t>sTTI</w:t>
      </w:r>
      <w:proofErr w:type="spellEnd"/>
      <w:r w:rsidRPr="00C12F18">
        <w:rPr>
          <w:rFonts w:eastAsia="MS Mincho"/>
          <w:i/>
          <w:iCs/>
          <w:sz w:val="20"/>
          <w:lang w:eastAsia="ja-JP"/>
        </w:rPr>
        <w:t xml:space="preserve">, 8-layer transmission is not supported for DMRS based </w:t>
      </w:r>
      <w:proofErr w:type="spellStart"/>
      <w:r w:rsidRPr="00C12F18">
        <w:rPr>
          <w:rFonts w:eastAsia="MS Mincho"/>
          <w:i/>
          <w:iCs/>
          <w:sz w:val="20"/>
          <w:lang w:eastAsia="ja-JP"/>
        </w:rPr>
        <w:t>sPDSCH</w:t>
      </w:r>
      <w:proofErr w:type="spellEnd"/>
      <w:r w:rsidRPr="00C12F18">
        <w:rPr>
          <w:rFonts w:eastAsia="MS Mincho"/>
          <w:i/>
          <w:iCs/>
          <w:sz w:val="20"/>
          <w:lang w:eastAsia="ja-JP"/>
        </w:rPr>
        <w:t>.</w:t>
      </w:r>
    </w:p>
    <w:p w14:paraId="4C892488" w14:textId="100FBFC0" w:rsidR="00D127A5" w:rsidRDefault="00D127A5" w:rsidP="00C12F18">
      <w:pPr>
        <w:jc w:val="both"/>
      </w:pPr>
    </w:p>
    <w:p w14:paraId="02BFADE8" w14:textId="77777777" w:rsidR="0098040A" w:rsidRPr="00932C72" w:rsidRDefault="0098040A" w:rsidP="0098040A">
      <w:pPr>
        <w:rPr>
          <w:rFonts w:eastAsia="MS Mincho"/>
          <w:b/>
          <w:iCs/>
          <w:u w:val="single"/>
          <w:lang w:eastAsia="ja-JP"/>
        </w:rPr>
      </w:pPr>
      <w:r w:rsidRPr="00932C72">
        <w:rPr>
          <w:rFonts w:eastAsia="MS Mincho"/>
          <w:b/>
          <w:iCs/>
          <w:highlight w:val="green"/>
          <w:u w:val="single"/>
          <w:lang w:eastAsia="ja-JP"/>
        </w:rPr>
        <w:t>Agreement:</w:t>
      </w:r>
    </w:p>
    <w:p w14:paraId="0E7F3CD4" w14:textId="77777777" w:rsidR="0098040A" w:rsidRPr="00932C72" w:rsidRDefault="0098040A" w:rsidP="0098040A">
      <w:pPr>
        <w:numPr>
          <w:ilvl w:val="0"/>
          <w:numId w:val="48"/>
        </w:numPr>
        <w:overflowPunct/>
        <w:autoSpaceDE/>
        <w:autoSpaceDN/>
        <w:adjustRightInd/>
        <w:spacing w:after="0"/>
        <w:textAlignment w:val="auto"/>
        <w:rPr>
          <w:rFonts w:eastAsia="MS Mincho"/>
          <w:i/>
          <w:iCs/>
          <w:lang w:eastAsia="ja-JP"/>
        </w:rPr>
      </w:pPr>
      <w:r w:rsidRPr="00932C72">
        <w:rPr>
          <w:rFonts w:eastAsia="MS Mincho"/>
          <w:i/>
          <w:iCs/>
          <w:lang w:eastAsia="ja-JP"/>
        </w:rPr>
        <w:t xml:space="preserve">Resource allocation type 1 for </w:t>
      </w:r>
      <w:proofErr w:type="spellStart"/>
      <w:r w:rsidRPr="00932C72">
        <w:rPr>
          <w:rFonts w:eastAsia="MS Mincho"/>
          <w:i/>
          <w:iCs/>
          <w:lang w:eastAsia="ja-JP"/>
        </w:rPr>
        <w:t>sPDSCH</w:t>
      </w:r>
      <w:proofErr w:type="spellEnd"/>
      <w:r w:rsidRPr="00932C72">
        <w:rPr>
          <w:rFonts w:eastAsia="MS Mincho"/>
          <w:i/>
          <w:iCs/>
          <w:lang w:eastAsia="ja-JP"/>
        </w:rPr>
        <w:t xml:space="preserve"> is not supported</w:t>
      </w:r>
    </w:p>
    <w:p w14:paraId="473BF4F4" w14:textId="77777777" w:rsidR="0098040A" w:rsidRPr="00D127A5" w:rsidRDefault="0098040A" w:rsidP="00C12F18">
      <w:pPr>
        <w:jc w:val="both"/>
      </w:pPr>
    </w:p>
    <w:p w14:paraId="0B6C83FD" w14:textId="5478952D" w:rsidR="00D127A5" w:rsidRDefault="00D127A5" w:rsidP="00D127A5">
      <w:pPr>
        <w:jc w:val="both"/>
      </w:pPr>
      <w:r>
        <w:t>In this contribution paper, we present the following</w:t>
      </w:r>
      <w:r w:rsidR="001F71A4">
        <w:t xml:space="preserve"> remaining</w:t>
      </w:r>
      <w:r>
        <w:t xml:space="preserve"> topics related to the design of </w:t>
      </w:r>
      <w:proofErr w:type="spellStart"/>
      <w:r>
        <w:t>sPDSCH</w:t>
      </w:r>
      <w:proofErr w:type="spellEnd"/>
      <w:r>
        <w:t xml:space="preserve"> in low latency LTE systems:</w:t>
      </w:r>
    </w:p>
    <w:p w14:paraId="02D827F5" w14:textId="299284D7" w:rsidR="00D127A5" w:rsidRPr="00932C4B" w:rsidRDefault="00D127A5" w:rsidP="00D127A5">
      <w:pPr>
        <w:pStyle w:val="ListParagraph"/>
        <w:numPr>
          <w:ilvl w:val="0"/>
          <w:numId w:val="43"/>
        </w:numPr>
        <w:jc w:val="both"/>
        <w:rPr>
          <w:sz w:val="20"/>
        </w:rPr>
      </w:pPr>
      <w:proofErr w:type="spellStart"/>
      <w:r w:rsidRPr="00932C4B">
        <w:rPr>
          <w:sz w:val="20"/>
        </w:rPr>
        <w:t>sPDSCH</w:t>
      </w:r>
      <w:proofErr w:type="spellEnd"/>
      <w:r w:rsidRPr="00932C4B">
        <w:rPr>
          <w:sz w:val="20"/>
        </w:rPr>
        <w:t xml:space="preserve">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27ECCE57" w:rsidR="00D127A5" w:rsidRDefault="00932C4B" w:rsidP="00F30894">
      <w:pPr>
        <w:pStyle w:val="ListParagraph"/>
        <w:numPr>
          <w:ilvl w:val="0"/>
          <w:numId w:val="43"/>
        </w:numPr>
        <w:jc w:val="both"/>
        <w:rPr>
          <w:sz w:val="20"/>
        </w:rPr>
      </w:pPr>
      <w:r w:rsidRPr="00932C4B">
        <w:rPr>
          <w:sz w:val="20"/>
        </w:rPr>
        <w:t>Number of CWs and Layers.</w:t>
      </w:r>
    </w:p>
    <w:p w14:paraId="42B4A849" w14:textId="356A45A4" w:rsidR="001F71A4" w:rsidRPr="00932C4B" w:rsidRDefault="001F71A4" w:rsidP="00F30894">
      <w:pPr>
        <w:pStyle w:val="ListParagraph"/>
        <w:numPr>
          <w:ilvl w:val="0"/>
          <w:numId w:val="43"/>
        </w:numPr>
        <w:jc w:val="both"/>
        <w:rPr>
          <w:sz w:val="20"/>
        </w:rPr>
      </w:pPr>
      <w:r>
        <w:rPr>
          <w:sz w:val="20"/>
        </w:rPr>
        <w:t xml:space="preserve">Providing interference diversity for </w:t>
      </w:r>
      <w:proofErr w:type="spellStart"/>
      <w:r>
        <w:rPr>
          <w:sz w:val="20"/>
        </w:rPr>
        <w:t>sPDSCH</w:t>
      </w:r>
      <w:proofErr w:type="spellEnd"/>
    </w:p>
    <w:p w14:paraId="488AD007" w14:textId="77777777" w:rsidR="00491EEE" w:rsidRDefault="00491EEE" w:rsidP="00F30894">
      <w:pPr>
        <w:pStyle w:val="Heading1"/>
        <w:jc w:val="both"/>
      </w:pPr>
      <w:r w:rsidRPr="00CC27F5">
        <w:t>2</w:t>
      </w:r>
      <w:r w:rsidRPr="00CC27F5">
        <w:tab/>
      </w:r>
      <w:r w:rsidR="002E53CF">
        <w:t>Discussion</w:t>
      </w:r>
    </w:p>
    <w:p w14:paraId="07F50599" w14:textId="6C56AC4A" w:rsidR="006034B0" w:rsidRDefault="006034B0" w:rsidP="006034B0">
      <w:pPr>
        <w:pStyle w:val="Heading3"/>
        <w:keepNext/>
        <w:keepLines/>
        <w:numPr>
          <w:ilvl w:val="1"/>
          <w:numId w:val="44"/>
        </w:numPr>
        <w:jc w:val="both"/>
      </w:pPr>
      <w:r>
        <w:t xml:space="preserve">   </w:t>
      </w:r>
      <w:proofErr w:type="spellStart"/>
      <w:r w:rsidR="004A1048">
        <w:t>sRBG</w:t>
      </w:r>
      <w:proofErr w:type="spellEnd"/>
      <w:r w:rsidR="004A1048">
        <w:t xml:space="preserve"> size </w:t>
      </w:r>
      <w:r w:rsidR="001F71A4">
        <w:t xml:space="preserve">for </w:t>
      </w:r>
      <w:proofErr w:type="spellStart"/>
      <w:r w:rsidR="001F71A4">
        <w:t>sP</w:t>
      </w:r>
      <w:r w:rsidR="00922481">
        <w:t>DS</w:t>
      </w:r>
      <w:r w:rsidR="001F71A4">
        <w:t>CH</w:t>
      </w:r>
      <w:proofErr w:type="spellEnd"/>
      <w:r w:rsidR="001F71A4">
        <w:t xml:space="preserve"> Scheduling </w:t>
      </w:r>
    </w:p>
    <w:p w14:paraId="6C535B57" w14:textId="13E46EB2" w:rsidR="00CB3E63" w:rsidRDefault="006034B0" w:rsidP="001B200D">
      <w:pPr>
        <w:jc w:val="both"/>
        <w:rPr>
          <w:lang w:val="en-GB"/>
        </w:rPr>
      </w:pPr>
      <w:r w:rsidRPr="006034B0">
        <w:rPr>
          <w:lang w:val="en-GB"/>
        </w:rPr>
        <w:t xml:space="preserve">As the TTI length reduces, </w:t>
      </w:r>
      <w:r w:rsidR="001B200D">
        <w:rPr>
          <w:lang w:val="en-GB"/>
        </w:rPr>
        <w:t xml:space="preserve">the resource allocation granularity of </w:t>
      </w:r>
      <w:proofErr w:type="spellStart"/>
      <w:r w:rsidR="001B200D">
        <w:rPr>
          <w:lang w:val="en-GB"/>
        </w:rPr>
        <w:t>sTTI</w:t>
      </w:r>
      <w:proofErr w:type="spellEnd"/>
      <w:r w:rsidR="001B200D">
        <w:rPr>
          <w:lang w:val="en-GB"/>
        </w:rPr>
        <w:t xml:space="preserve"> operation should be increased. The minimum allocation of </w:t>
      </w:r>
      <w:proofErr w:type="spellStart"/>
      <w:r w:rsidR="001B200D">
        <w:rPr>
          <w:lang w:val="en-GB"/>
        </w:rPr>
        <w:t>sPDSCH</w:t>
      </w:r>
      <w:proofErr w:type="spellEnd"/>
      <w:r w:rsidR="001B200D">
        <w:rPr>
          <w:lang w:val="en-GB"/>
        </w:rPr>
        <w:t xml:space="preserve"> should be defined such that:</w:t>
      </w:r>
    </w:p>
    <w:p w14:paraId="0FE095A0" w14:textId="59EF11A8" w:rsidR="001B200D" w:rsidRPr="001B200D" w:rsidRDefault="001B200D" w:rsidP="001B200D">
      <w:pPr>
        <w:pStyle w:val="ListParagraph"/>
        <w:numPr>
          <w:ilvl w:val="0"/>
          <w:numId w:val="49"/>
        </w:numPr>
        <w:jc w:val="both"/>
        <w:rPr>
          <w:bCs/>
          <w:sz w:val="20"/>
          <w:szCs w:val="20"/>
          <w:lang w:val="en-GB"/>
        </w:rPr>
      </w:pPr>
      <w:r w:rsidRPr="001B200D">
        <w:rPr>
          <w:bCs/>
          <w:sz w:val="20"/>
          <w:szCs w:val="20"/>
          <w:lang w:val="en-GB"/>
        </w:rPr>
        <w:t>It allows for efficient multiplexing with 1ms TTI users.</w:t>
      </w:r>
      <w:r>
        <w:rPr>
          <w:bCs/>
          <w:sz w:val="20"/>
          <w:szCs w:val="20"/>
          <w:lang w:val="en-GB"/>
        </w:rPr>
        <w:t xml:space="preserve"> </w:t>
      </w:r>
    </w:p>
    <w:p w14:paraId="03FE2710" w14:textId="0FCEA2EC" w:rsidR="001B200D" w:rsidRDefault="001B200D" w:rsidP="001B200D">
      <w:pPr>
        <w:pStyle w:val="ListParagraph"/>
        <w:numPr>
          <w:ilvl w:val="0"/>
          <w:numId w:val="49"/>
        </w:numPr>
        <w:jc w:val="both"/>
        <w:rPr>
          <w:bCs/>
          <w:sz w:val="20"/>
          <w:szCs w:val="20"/>
          <w:lang w:val="en-GB"/>
        </w:rPr>
      </w:pPr>
      <w:r w:rsidRPr="001B200D">
        <w:rPr>
          <w:bCs/>
          <w:sz w:val="20"/>
          <w:szCs w:val="20"/>
          <w:lang w:val="en-GB"/>
        </w:rPr>
        <w:t>Resource allocation requires a small number of bits to reduce the control overhead.</w:t>
      </w:r>
    </w:p>
    <w:p w14:paraId="054D024B" w14:textId="669EFE13" w:rsidR="001B200D" w:rsidRDefault="001B200D" w:rsidP="001B200D">
      <w:pPr>
        <w:pStyle w:val="ListParagraph"/>
        <w:numPr>
          <w:ilvl w:val="0"/>
          <w:numId w:val="49"/>
        </w:numPr>
        <w:jc w:val="both"/>
        <w:rPr>
          <w:bCs/>
          <w:sz w:val="20"/>
          <w:szCs w:val="20"/>
          <w:lang w:val="en-GB"/>
        </w:rPr>
      </w:pPr>
      <w:r>
        <w:rPr>
          <w:bCs/>
          <w:sz w:val="20"/>
          <w:szCs w:val="20"/>
          <w:lang w:val="en-GB"/>
        </w:rPr>
        <w:t xml:space="preserve">It allows for defining the same </w:t>
      </w:r>
      <w:proofErr w:type="spellStart"/>
      <w:r>
        <w:rPr>
          <w:bCs/>
          <w:sz w:val="20"/>
          <w:szCs w:val="20"/>
          <w:lang w:val="en-GB"/>
        </w:rPr>
        <w:t>sPRG</w:t>
      </w:r>
      <w:proofErr w:type="spellEnd"/>
      <w:r>
        <w:rPr>
          <w:bCs/>
          <w:sz w:val="20"/>
          <w:szCs w:val="20"/>
          <w:lang w:val="en-GB"/>
        </w:rPr>
        <w:t xml:space="preserve"> size for all system bandwidth.</w:t>
      </w:r>
    </w:p>
    <w:p w14:paraId="7C85FC8F" w14:textId="3A88824B" w:rsidR="001B200D" w:rsidRDefault="001B200D" w:rsidP="001B200D">
      <w:pPr>
        <w:jc w:val="both"/>
        <w:rPr>
          <w:bCs/>
          <w:lang w:val="en-GB"/>
        </w:rPr>
      </w:pPr>
    </w:p>
    <w:p w14:paraId="565416E9" w14:textId="2D1121BF" w:rsidR="001B200D" w:rsidRDefault="001B200D" w:rsidP="001B200D">
      <w:pPr>
        <w:jc w:val="both"/>
        <w:rPr>
          <w:bCs/>
          <w:lang w:val="en-GB"/>
        </w:rPr>
      </w:pPr>
      <w:r>
        <w:rPr>
          <w:bCs/>
          <w:lang w:val="en-GB"/>
        </w:rPr>
        <w:t xml:space="preserve">To meet the first requirement, the </w:t>
      </w:r>
      <w:proofErr w:type="spellStart"/>
      <w:r>
        <w:rPr>
          <w:bCs/>
          <w:lang w:val="en-GB"/>
        </w:rPr>
        <w:t>sTTI</w:t>
      </w:r>
      <w:proofErr w:type="spellEnd"/>
      <w:r>
        <w:rPr>
          <w:bCs/>
          <w:lang w:val="en-GB"/>
        </w:rPr>
        <w:t xml:space="preserve"> </w:t>
      </w:r>
      <w:proofErr w:type="spellStart"/>
      <w:r>
        <w:rPr>
          <w:bCs/>
          <w:lang w:val="en-GB"/>
        </w:rPr>
        <w:t>sRBG</w:t>
      </w:r>
      <w:proofErr w:type="spellEnd"/>
      <w:r>
        <w:rPr>
          <w:bCs/>
          <w:lang w:val="en-GB"/>
        </w:rPr>
        <w:t xml:space="preserve"> size should be a scaled version of the legacy RBG size. The legacy RBG size is 2, 3, 4 and 4 in 5, 10, 15 and 20MHz. To meet the 2</w:t>
      </w:r>
      <w:r w:rsidRPr="001B200D">
        <w:rPr>
          <w:bCs/>
          <w:vertAlign w:val="superscript"/>
          <w:lang w:val="en-GB"/>
        </w:rPr>
        <w:t>nd</w:t>
      </w:r>
      <w:r>
        <w:rPr>
          <w:bCs/>
          <w:lang w:val="en-GB"/>
        </w:rPr>
        <w:t xml:space="preserve"> and 3</w:t>
      </w:r>
      <w:r w:rsidRPr="001B200D">
        <w:rPr>
          <w:bCs/>
          <w:vertAlign w:val="superscript"/>
          <w:lang w:val="en-GB"/>
        </w:rPr>
        <w:t>rd</w:t>
      </w:r>
      <w:r>
        <w:rPr>
          <w:bCs/>
          <w:lang w:val="en-GB"/>
        </w:rPr>
        <w:t xml:space="preserve"> requirement, the </w:t>
      </w:r>
      <w:proofErr w:type="spellStart"/>
      <w:r>
        <w:rPr>
          <w:bCs/>
          <w:lang w:val="en-GB"/>
        </w:rPr>
        <w:t>sRBG</w:t>
      </w:r>
      <w:proofErr w:type="spellEnd"/>
      <w:r>
        <w:rPr>
          <w:bCs/>
          <w:lang w:val="en-GB"/>
        </w:rPr>
        <w:t xml:space="preserve"> size in each system bandwidth could be defined as 4 times the size of the legacy RBG. Hence, in 5, 10, 15 and 20MHz, the </w:t>
      </w:r>
      <w:proofErr w:type="spellStart"/>
      <w:r>
        <w:rPr>
          <w:bCs/>
          <w:lang w:val="en-GB"/>
        </w:rPr>
        <w:t>sRBG</w:t>
      </w:r>
      <w:proofErr w:type="spellEnd"/>
      <w:r>
        <w:rPr>
          <w:bCs/>
          <w:lang w:val="en-GB"/>
        </w:rPr>
        <w:t xml:space="preserve"> size, respectively, is 8, 12, 16 and 16. The </w:t>
      </w:r>
      <w:proofErr w:type="spellStart"/>
      <w:r>
        <w:rPr>
          <w:bCs/>
          <w:lang w:val="en-GB"/>
        </w:rPr>
        <w:t>sPRG</w:t>
      </w:r>
      <w:proofErr w:type="spellEnd"/>
      <w:r>
        <w:rPr>
          <w:bCs/>
          <w:lang w:val="en-GB"/>
        </w:rPr>
        <w:t xml:space="preserve"> size for all system bandwidths could be of size 4.</w:t>
      </w:r>
    </w:p>
    <w:p w14:paraId="0396FE9D" w14:textId="0C50D097" w:rsidR="001B200D" w:rsidRPr="001B200D" w:rsidRDefault="001B200D" w:rsidP="001B200D">
      <w:pPr>
        <w:jc w:val="both"/>
        <w:rPr>
          <w:b/>
          <w:lang w:val="en-GB"/>
        </w:rPr>
      </w:pPr>
      <w:r w:rsidRPr="001B200D">
        <w:rPr>
          <w:b/>
          <w:lang w:val="en-GB"/>
        </w:rPr>
        <w:t xml:space="preserve">Proposal 1: The </w:t>
      </w:r>
      <w:proofErr w:type="spellStart"/>
      <w:r w:rsidRPr="001B200D">
        <w:rPr>
          <w:b/>
          <w:lang w:val="en-GB"/>
        </w:rPr>
        <w:t>sRBG</w:t>
      </w:r>
      <w:proofErr w:type="spellEnd"/>
      <w:r w:rsidRPr="001B200D">
        <w:rPr>
          <w:b/>
          <w:lang w:val="en-GB"/>
        </w:rPr>
        <w:t xml:space="preserve"> size in each system bandwidth is 4 times larger than the legacy RBG size.</w:t>
      </w:r>
    </w:p>
    <w:p w14:paraId="3EC8A060" w14:textId="77777777" w:rsidR="001B200D" w:rsidRPr="001B200D" w:rsidRDefault="001B200D" w:rsidP="001B200D">
      <w:pPr>
        <w:pStyle w:val="ListParagraph"/>
        <w:jc w:val="both"/>
        <w:rPr>
          <w:bCs/>
          <w:sz w:val="20"/>
          <w:szCs w:val="20"/>
          <w:lang w:val="en-GB"/>
        </w:rPr>
      </w:pPr>
    </w:p>
    <w:p w14:paraId="4E86A4F9" w14:textId="77777777" w:rsidR="006034B0" w:rsidRDefault="006034B0" w:rsidP="006034B0">
      <w:pPr>
        <w:pStyle w:val="Heading3"/>
        <w:keepNext/>
        <w:keepLines/>
        <w:numPr>
          <w:ilvl w:val="1"/>
          <w:numId w:val="44"/>
        </w:numPr>
        <w:jc w:val="both"/>
      </w:pPr>
      <w:r>
        <w:t xml:space="preserve">   TBS Scaling for </w:t>
      </w:r>
      <w:proofErr w:type="spellStart"/>
      <w:r>
        <w:t>sTTI</w:t>
      </w:r>
      <w:proofErr w:type="spellEnd"/>
      <w:r>
        <w:t xml:space="preserve"> Operation</w:t>
      </w:r>
    </w:p>
    <w:p w14:paraId="2D8CD0F3" w14:textId="214B4F17" w:rsidR="005D260C" w:rsidRPr="00093618" w:rsidRDefault="00754416" w:rsidP="005D260C">
      <w:pPr>
        <w:jc w:val="both"/>
        <w:rPr>
          <w:lang w:val="en-GB"/>
        </w:rPr>
      </w:pPr>
      <w:r>
        <w:rPr>
          <w:lang w:val="en-GB"/>
        </w:rPr>
        <w:t xml:space="preserve">For both 2-symbol and 1-slot </w:t>
      </w:r>
      <w:proofErr w:type="spellStart"/>
      <w:r>
        <w:rPr>
          <w:lang w:val="en-GB"/>
        </w:rPr>
        <w:t>sTTIs</w:t>
      </w:r>
      <w:proofErr w:type="spellEnd"/>
      <w:r>
        <w:rPr>
          <w:lang w:val="en-GB"/>
        </w:rPr>
        <w:t xml:space="preserve">, </w:t>
      </w:r>
      <w:r w:rsidR="005D260C">
        <w:rPr>
          <w:lang w:val="en-GB"/>
        </w:rPr>
        <w:t>the TBS can be determined by scaling</w:t>
      </w:r>
      <w:r w:rsidR="005D260C" w:rsidRPr="00093618">
        <w:rPr>
          <w:lang w:val="en-GB"/>
        </w:rPr>
        <w:t xml:space="preserve"> the PRB size </w:t>
      </w:r>
      <w:r w:rsidR="005D260C">
        <w:rPr>
          <w:lang w:val="en-GB"/>
        </w:rPr>
        <w:t xml:space="preserve">by a proper factor </w:t>
      </w:r>
      <w:r w:rsidR="005D260C" w:rsidRPr="00093618">
        <w:rPr>
          <w:lang w:val="en-GB"/>
        </w:rPr>
        <w:t>such that the existing transport block sizing table</w:t>
      </w:r>
      <w:r w:rsidR="00F202E0">
        <w:rPr>
          <w:lang w:val="en-GB"/>
        </w:rPr>
        <w:t>s can be re</w:t>
      </w:r>
      <w:r w:rsidR="005D260C">
        <w:rPr>
          <w:lang w:val="en-GB"/>
        </w:rPr>
        <w:t>u</w:t>
      </w:r>
      <w:r w:rsidR="00F202E0">
        <w:rPr>
          <w:lang w:val="en-GB"/>
        </w:rPr>
        <w:t>s</w:t>
      </w:r>
      <w:r w:rsidR="005D260C">
        <w:rPr>
          <w:lang w:val="en-GB"/>
        </w:rPr>
        <w:t xml:space="preserve">ed. This factor should be defined separately for the 2-symbol and 1-slot </w:t>
      </w:r>
      <w:proofErr w:type="spellStart"/>
      <w:r w:rsidR="005D260C">
        <w:rPr>
          <w:lang w:val="en-GB"/>
        </w:rPr>
        <w:t>sTTIs</w:t>
      </w:r>
      <w:proofErr w:type="spellEnd"/>
      <w:r w:rsidR="005D260C">
        <w:rPr>
          <w:lang w:val="en-GB"/>
        </w:rPr>
        <w:t xml:space="preserve">. Further, the scaling factor should be defined by accounting for overhead, e.g., the presence of CRS REs, number of symbols used for PDCCH, etc. However, from the UE’s perspective, </w:t>
      </w:r>
      <w:r w:rsidR="00454F52">
        <w:rPr>
          <w:lang w:val="en-GB"/>
        </w:rPr>
        <w:t xml:space="preserve">for the case of 2-symbol </w:t>
      </w:r>
      <w:proofErr w:type="spellStart"/>
      <w:r w:rsidR="00454F52">
        <w:rPr>
          <w:lang w:val="en-GB"/>
        </w:rPr>
        <w:t>sTTI</w:t>
      </w:r>
      <w:proofErr w:type="spellEnd"/>
      <w:r w:rsidR="00454F52">
        <w:rPr>
          <w:lang w:val="en-GB"/>
        </w:rPr>
        <w:t xml:space="preserve">, </w:t>
      </w:r>
      <w:r w:rsidR="005D260C">
        <w:rPr>
          <w:lang w:val="en-GB"/>
        </w:rPr>
        <w:t>it is desirable to define a single scaling factor</w:t>
      </w:r>
      <w:r w:rsidR="00454F52">
        <w:rPr>
          <w:lang w:val="en-GB"/>
        </w:rPr>
        <w:t>. This is</w:t>
      </w:r>
      <w:r w:rsidR="005D260C">
        <w:rPr>
          <w:lang w:val="en-GB"/>
        </w:rPr>
        <w:t xml:space="preserve"> important </w:t>
      </w:r>
      <w:r w:rsidR="00454F52">
        <w:rPr>
          <w:lang w:val="en-GB"/>
        </w:rPr>
        <w:t>since</w:t>
      </w:r>
      <w:r w:rsidR="005D260C">
        <w:rPr>
          <w:lang w:val="en-GB"/>
        </w:rPr>
        <w:t xml:space="preserve"> both 2-symbol and 3-symbol </w:t>
      </w:r>
      <w:proofErr w:type="spellStart"/>
      <w:r w:rsidR="005D260C">
        <w:rPr>
          <w:lang w:val="en-GB"/>
        </w:rPr>
        <w:t>sTTIs</w:t>
      </w:r>
      <w:proofErr w:type="spellEnd"/>
      <w:r w:rsidR="005D260C">
        <w:rPr>
          <w:lang w:val="en-GB"/>
        </w:rPr>
        <w:t xml:space="preserve"> are defined</w:t>
      </w:r>
      <w:r w:rsidR="00454F52">
        <w:rPr>
          <w:lang w:val="en-GB"/>
        </w:rPr>
        <w:t xml:space="preserve"> in one subframe</w:t>
      </w:r>
      <w:r w:rsidR="005D260C">
        <w:rPr>
          <w:lang w:val="en-GB"/>
        </w:rPr>
        <w:t xml:space="preserve">. In particular, the same equation and scaling factor should be used for both 2-symbol and 3-symbol </w:t>
      </w:r>
      <w:proofErr w:type="spellStart"/>
      <w:r w:rsidR="005D260C">
        <w:rPr>
          <w:lang w:val="en-GB"/>
        </w:rPr>
        <w:t>sTTIs</w:t>
      </w:r>
      <w:proofErr w:type="spellEnd"/>
      <w:r w:rsidR="005D260C">
        <w:rPr>
          <w:lang w:val="en-GB"/>
        </w:rPr>
        <w:t xml:space="preserve"> such that </w:t>
      </w:r>
      <w:r w:rsidR="005D260C" w:rsidRPr="00093618">
        <w:rPr>
          <w:lang w:val="en-GB"/>
        </w:rPr>
        <w:t xml:space="preserve">the soft buffer sizing and/or HARQ timing does not require an increase. </w:t>
      </w:r>
    </w:p>
    <w:p w14:paraId="4854773C" w14:textId="0C9EB32E" w:rsidR="005D260C" w:rsidRDefault="005D260C" w:rsidP="005D260C">
      <w:pPr>
        <w:jc w:val="both"/>
        <w:rPr>
          <w:b/>
          <w:bCs/>
          <w:lang w:val="en-GB"/>
        </w:rPr>
      </w:pPr>
      <w:r w:rsidRPr="005D260C">
        <w:rPr>
          <w:b/>
          <w:bCs/>
          <w:lang w:val="en-GB"/>
        </w:rPr>
        <w:t>Proposal 2:</w:t>
      </w:r>
      <w:r>
        <w:rPr>
          <w:lang w:val="en-GB"/>
        </w:rPr>
        <w:t xml:space="preserve"> </w:t>
      </w:r>
      <w:r w:rsidRPr="00093618">
        <w:rPr>
          <w:b/>
          <w:lang w:val="en-GB"/>
        </w:rPr>
        <w:t xml:space="preserve">For </w:t>
      </w:r>
      <w:r w:rsidR="00454F52">
        <w:rPr>
          <w:b/>
          <w:lang w:val="en-GB"/>
        </w:rPr>
        <w:t>computing</w:t>
      </w:r>
      <w:r>
        <w:rPr>
          <w:b/>
          <w:lang w:val="en-GB"/>
        </w:rPr>
        <w:t xml:space="preserve"> the </w:t>
      </w:r>
      <w:r w:rsidRPr="00093618">
        <w:rPr>
          <w:b/>
          <w:lang w:val="en-GB"/>
        </w:rPr>
        <w:t xml:space="preserve">TBS of </w:t>
      </w:r>
      <w:r>
        <w:rPr>
          <w:b/>
          <w:lang w:val="en-GB"/>
        </w:rPr>
        <w:t xml:space="preserve">a 2-symbol </w:t>
      </w:r>
      <w:proofErr w:type="spellStart"/>
      <w:r>
        <w:rPr>
          <w:b/>
          <w:lang w:val="en-GB"/>
        </w:rPr>
        <w:t>sTTI</w:t>
      </w:r>
      <w:proofErr w:type="spellEnd"/>
      <w:r>
        <w:rPr>
          <w:b/>
          <w:lang w:val="en-GB"/>
        </w:rPr>
        <w:t xml:space="preserve"> in the DL,</w:t>
      </w:r>
      <w:r w:rsidRPr="00093618">
        <w:rPr>
          <w:b/>
          <w:lang w:val="en-GB"/>
        </w:rPr>
        <w:t xml:space="preserve"> the number of PRBs used to index the TBS block size table is determined by a floored scaling operation by a </w:t>
      </w:r>
      <w:r>
        <w:rPr>
          <w:b/>
          <w:lang w:val="en-GB"/>
        </w:rPr>
        <w:t>factor</w:t>
      </w:r>
      <w:r w:rsidRPr="00093618">
        <w:rPr>
          <w:b/>
          <w:lang w:val="en-GB"/>
        </w:rPr>
        <w:t xml:space="preserve"> </w:t>
      </w:r>
      <w:r>
        <w:rPr>
          <w:b/>
          <w:lang w:val="en-GB"/>
        </w:rPr>
        <w:t xml:space="preserve">of </w:t>
      </w:r>
      <m:oMath>
        <m:r>
          <m:rPr>
            <m:sty m:val="bi"/>
          </m:rPr>
          <w:rPr>
            <w:rFonts w:ascii="Cambria Math" w:hAnsi="Cambria Math"/>
            <w:lang w:val="en-GB"/>
          </w:rPr>
          <m:t>α</m:t>
        </m:r>
      </m:oMath>
      <w:r>
        <w:rPr>
          <w:b/>
          <w:lang w:val="en-GB"/>
        </w:rPr>
        <w:t xml:space="preserve"> </w:t>
      </w:r>
      <w:r w:rsidRPr="00093618">
        <w:rPr>
          <w:b/>
          <w:lang w:val="en-GB"/>
        </w:rPr>
        <w:t xml:space="preserve">on the allocation PRB size of the </w:t>
      </w:r>
      <w:proofErr w:type="spellStart"/>
      <w:r w:rsidRPr="00093618">
        <w:rPr>
          <w:b/>
          <w:lang w:val="en-GB"/>
        </w:rPr>
        <w:t>sTTI</w:t>
      </w:r>
      <w:proofErr w:type="spellEnd"/>
      <w:r>
        <w:rPr>
          <w:b/>
          <w:lang w:val="en-GB"/>
        </w:rPr>
        <w:t xml:space="preserve">, i.e., </w:t>
      </w:r>
      <w:r w:rsidRPr="005D260C">
        <w:rPr>
          <w:b/>
          <w:bCs/>
          <w:lang w:val="en-GB"/>
        </w:rPr>
        <w:t xml:space="preserve">NPRB = max( </w:t>
      </w:r>
      <w:r w:rsidRPr="005D260C">
        <w:rPr>
          <w:b/>
          <w:bCs/>
          <w:lang w:val="en-GB"/>
        </w:rPr>
        <w:sym w:font="Symbol" w:char="F0EB"/>
      </w:r>
      <w:r>
        <w:rPr>
          <w:b/>
          <w:bCs/>
          <w:lang w:val="en-GB"/>
        </w:rPr>
        <w:t xml:space="preserve">NPRB_2sym_sTTI / </w:t>
      </w:r>
      <m:oMath>
        <m:r>
          <m:rPr>
            <m:sty m:val="bi"/>
          </m:rPr>
          <w:rPr>
            <w:rFonts w:ascii="Cambria Math" w:hAnsi="Cambria Math"/>
            <w:lang w:val="en-GB"/>
          </w:rPr>
          <m:t>α</m:t>
        </m:r>
      </m:oMath>
      <w:r w:rsidRPr="005D260C">
        <w:rPr>
          <w:b/>
          <w:bCs/>
          <w:lang w:val="en-GB"/>
        </w:rPr>
        <w:sym w:font="Symbol" w:char="F0FB"/>
      </w:r>
      <w:r w:rsidRPr="005D260C">
        <w:rPr>
          <w:b/>
          <w:bCs/>
          <w:lang w:val="en-GB"/>
        </w:rPr>
        <w:t>, 1</w:t>
      </w:r>
      <w:r>
        <w:rPr>
          <w:b/>
          <w:bCs/>
          <w:lang w:val="en-GB"/>
        </w:rPr>
        <w:t xml:space="preserve">), where </w:t>
      </w:r>
      <m:oMath>
        <m:r>
          <m:rPr>
            <m:sty m:val="bi"/>
          </m:rPr>
          <w:rPr>
            <w:rFonts w:ascii="Cambria Math" w:hAnsi="Cambria Math"/>
            <w:lang w:val="en-GB"/>
          </w:rPr>
          <m:t>α</m:t>
        </m:r>
      </m:oMath>
      <w:r>
        <w:rPr>
          <w:b/>
          <w:bCs/>
          <w:lang w:val="en-GB"/>
        </w:rPr>
        <w:t xml:space="preserve"> is the same across all </w:t>
      </w:r>
      <w:proofErr w:type="spellStart"/>
      <w:r>
        <w:rPr>
          <w:b/>
          <w:bCs/>
          <w:lang w:val="en-GB"/>
        </w:rPr>
        <w:t>sTTIs</w:t>
      </w:r>
      <w:proofErr w:type="spellEnd"/>
      <w:r>
        <w:rPr>
          <w:b/>
          <w:bCs/>
          <w:lang w:val="en-GB"/>
        </w:rPr>
        <w:t>.</w:t>
      </w:r>
    </w:p>
    <w:p w14:paraId="19AA0D65" w14:textId="2FCBCC9A" w:rsidR="0077611B" w:rsidRPr="00454F52" w:rsidRDefault="00454F52" w:rsidP="00454F52">
      <w:pPr>
        <w:jc w:val="both"/>
        <w:rPr>
          <w:b/>
          <w:bCs/>
          <w:lang w:val="en-GB"/>
        </w:rPr>
      </w:pPr>
      <w:r>
        <w:rPr>
          <w:b/>
          <w:lang w:val="en-GB"/>
        </w:rPr>
        <w:t xml:space="preserve">Proposal 3: For computing the TBS of a 1-slot </w:t>
      </w:r>
      <w:proofErr w:type="spellStart"/>
      <w:r>
        <w:rPr>
          <w:b/>
          <w:lang w:val="en-GB"/>
        </w:rPr>
        <w:t>sTTI</w:t>
      </w:r>
      <w:proofErr w:type="spellEnd"/>
      <w:r>
        <w:rPr>
          <w:b/>
          <w:lang w:val="en-GB"/>
        </w:rPr>
        <w:t xml:space="preserve"> in the DL, </w:t>
      </w:r>
      <w:r w:rsidRPr="00093618">
        <w:rPr>
          <w:b/>
          <w:lang w:val="en-GB"/>
        </w:rPr>
        <w:t xml:space="preserve">the number of PRBs used to index the TBS block size table is determined by a floored scaling operation by a </w:t>
      </w:r>
      <w:r>
        <w:rPr>
          <w:b/>
          <w:lang w:val="en-GB"/>
        </w:rPr>
        <w:t>factor</w:t>
      </w:r>
      <w:r w:rsidRPr="00093618">
        <w:rPr>
          <w:b/>
          <w:lang w:val="en-GB"/>
        </w:rPr>
        <w:t xml:space="preserve"> </w:t>
      </w:r>
      <w:r>
        <w:rPr>
          <w:b/>
          <w:lang w:val="en-GB"/>
        </w:rPr>
        <w:t xml:space="preserve">of </w:t>
      </w:r>
      <m:oMath>
        <m:r>
          <m:rPr>
            <m:sty m:val="bi"/>
          </m:rPr>
          <w:rPr>
            <w:rFonts w:ascii="Cambria Math" w:hAnsi="Cambria Math"/>
            <w:lang w:val="en-GB"/>
          </w:rPr>
          <m:t>α</m:t>
        </m:r>
      </m:oMath>
      <w:r>
        <w:rPr>
          <w:b/>
          <w:lang w:val="en-GB"/>
        </w:rPr>
        <w:t xml:space="preserve"> </w:t>
      </w:r>
      <w:r w:rsidRPr="00093618">
        <w:rPr>
          <w:b/>
          <w:lang w:val="en-GB"/>
        </w:rPr>
        <w:t xml:space="preserve">on the allocation PRB size of the </w:t>
      </w:r>
      <w:proofErr w:type="spellStart"/>
      <w:r w:rsidRPr="00093618">
        <w:rPr>
          <w:b/>
          <w:lang w:val="en-GB"/>
        </w:rPr>
        <w:t>sTTI</w:t>
      </w:r>
      <w:proofErr w:type="spellEnd"/>
      <w:r>
        <w:rPr>
          <w:b/>
          <w:lang w:val="en-GB"/>
        </w:rPr>
        <w:t xml:space="preserve">, i.e., </w:t>
      </w:r>
      <w:r w:rsidRPr="005D260C">
        <w:rPr>
          <w:b/>
          <w:bCs/>
          <w:lang w:val="en-GB"/>
        </w:rPr>
        <w:t xml:space="preserve">NPRB = max( </w:t>
      </w:r>
      <w:r w:rsidRPr="005D260C">
        <w:rPr>
          <w:b/>
          <w:bCs/>
          <w:lang w:val="en-GB"/>
        </w:rPr>
        <w:sym w:font="Symbol" w:char="F0EB"/>
      </w:r>
      <w:r>
        <w:rPr>
          <w:b/>
          <w:bCs/>
          <w:lang w:val="en-GB"/>
        </w:rPr>
        <w:t xml:space="preserve">NPRB_1_slot_sTTI / </w:t>
      </w:r>
      <m:oMath>
        <m:r>
          <m:rPr>
            <m:sty m:val="bi"/>
          </m:rPr>
          <w:rPr>
            <w:rFonts w:ascii="Cambria Math" w:hAnsi="Cambria Math"/>
            <w:lang w:val="en-GB"/>
          </w:rPr>
          <m:t>α</m:t>
        </m:r>
      </m:oMath>
      <w:r w:rsidRPr="005D260C">
        <w:rPr>
          <w:b/>
          <w:bCs/>
          <w:lang w:val="en-GB"/>
        </w:rPr>
        <w:sym w:font="Symbol" w:char="F0FB"/>
      </w:r>
      <w:r w:rsidRPr="005D260C">
        <w:rPr>
          <w:b/>
          <w:bCs/>
          <w:lang w:val="en-GB"/>
        </w:rPr>
        <w:t>, 1</w:t>
      </w:r>
      <w:r>
        <w:rPr>
          <w:b/>
          <w:bCs/>
          <w:lang w:val="en-GB"/>
        </w:rPr>
        <w:t xml:space="preserve">), where </w:t>
      </w:r>
      <m:oMath>
        <m:r>
          <m:rPr>
            <m:sty m:val="bi"/>
          </m:rPr>
          <w:rPr>
            <w:rFonts w:ascii="Cambria Math" w:hAnsi="Cambria Math"/>
            <w:lang w:val="en-GB"/>
          </w:rPr>
          <m:t>α</m:t>
        </m:r>
      </m:oMath>
      <w:r>
        <w:rPr>
          <w:b/>
          <w:bCs/>
          <w:lang w:val="en-GB"/>
        </w:rPr>
        <w:t xml:space="preserve"> could possibly be defined differently for slot0 and slot1.</w:t>
      </w: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78E0A4F9" w:rsidR="00A637AF" w:rsidRDefault="008F3A8D" w:rsidP="00FB578A">
      <w:pPr>
        <w:jc w:val="both"/>
        <w:rPr>
          <w:lang w:val="en-GB"/>
        </w:rPr>
      </w:pPr>
      <w:r w:rsidRPr="008F3A8D">
        <w:rPr>
          <w:lang w:val="en-GB"/>
        </w:rPr>
        <w:t xml:space="preserve">In legacy LTE, depending on the configured transmission mode, up to 2 CWs and 8 layers can be supported. For each CW, MCS, NDI, and RV bit fields are considered in the DCI. </w:t>
      </w:r>
    </w:p>
    <w:p w14:paraId="1D942870" w14:textId="3E01E274" w:rsidR="001B200D" w:rsidRDefault="00EA7ADD" w:rsidP="00454F52">
      <w:pPr>
        <w:jc w:val="both"/>
        <w:rPr>
          <w:lang w:val="en-GB"/>
        </w:rPr>
      </w:pPr>
      <w:r>
        <w:rPr>
          <w:lang w:val="en-GB"/>
        </w:rPr>
        <w:t xml:space="preserve">In a low latency operation, due to the fact that resources are limited, it is essential to reduce the control signalling overhead in both DL and UL. One straightforward way to do this is to limit the number of supportable CWs to only 1. </w:t>
      </w:r>
      <w:r w:rsidR="001B200D">
        <w:rPr>
          <w:lang w:val="en-GB"/>
        </w:rPr>
        <w:t xml:space="preserve">However, a more attractive solution, at least for the DL, is to allow for supporting 2 CWs, while </w:t>
      </w:r>
      <w:r w:rsidR="009B02E3">
        <w:rPr>
          <w:lang w:val="en-GB"/>
        </w:rPr>
        <w:t xml:space="preserve">some of the MCS/RV/NDI parameters are set </w:t>
      </w:r>
      <w:r w:rsidR="001B200D">
        <w:rPr>
          <w:lang w:val="en-GB"/>
        </w:rPr>
        <w:t xml:space="preserve">the same. With this approach, not only the control overhead is reduced, but also a 4-layer transmission can efficiently be supported. </w:t>
      </w:r>
      <w:r w:rsidR="00ED71A0">
        <w:rPr>
          <w:lang w:val="en-GB"/>
        </w:rPr>
        <w:t xml:space="preserve">Further, supporting 2CWs makes HARQ sharing across different TTI lengths easier, performance will be improved, and the same CSI reporting can be used for both CWs. </w:t>
      </w:r>
      <w:r w:rsidR="001B200D">
        <w:rPr>
          <w:lang w:val="en-GB"/>
        </w:rPr>
        <w:t xml:space="preserve">In the UL, 1 CW can be considered. </w:t>
      </w:r>
    </w:p>
    <w:p w14:paraId="2ACC8F9E" w14:textId="74CEAC7E" w:rsidR="008F3A8D" w:rsidRDefault="008F3A8D" w:rsidP="00FB578A">
      <w:pPr>
        <w:jc w:val="both"/>
        <w:rPr>
          <w:b/>
          <w:lang w:val="en-GB"/>
        </w:rPr>
      </w:pPr>
      <w:r w:rsidRPr="008F3A8D">
        <w:rPr>
          <w:b/>
          <w:lang w:val="en-GB"/>
        </w:rPr>
        <w:t xml:space="preserve">Proposal </w:t>
      </w:r>
      <w:r w:rsidR="00454F52">
        <w:rPr>
          <w:b/>
          <w:lang w:val="en-GB"/>
        </w:rPr>
        <w:t>4</w:t>
      </w:r>
      <w:r w:rsidRPr="008F3A8D">
        <w:rPr>
          <w:b/>
          <w:lang w:val="en-GB"/>
        </w:rPr>
        <w:t xml:space="preserve">: </w:t>
      </w:r>
      <w:r w:rsidR="009B02E3">
        <w:rPr>
          <w:b/>
          <w:lang w:val="en-GB"/>
        </w:rPr>
        <w:t xml:space="preserve">In the DL, support 2CWs, while some of the </w:t>
      </w:r>
      <w:r w:rsidR="00454F52">
        <w:rPr>
          <w:b/>
          <w:lang w:val="en-GB"/>
        </w:rPr>
        <w:t xml:space="preserve">MCS/NDI/RV </w:t>
      </w:r>
      <w:r w:rsidR="009B02E3">
        <w:rPr>
          <w:b/>
          <w:lang w:val="en-GB"/>
        </w:rPr>
        <w:t xml:space="preserve">parameters are set the same </w:t>
      </w:r>
      <w:r w:rsidR="00454F52">
        <w:rPr>
          <w:b/>
          <w:lang w:val="en-GB"/>
        </w:rPr>
        <w:t xml:space="preserve">for both 2-symbol and 1-slot </w:t>
      </w:r>
      <w:proofErr w:type="spellStart"/>
      <w:r w:rsidR="00454F52">
        <w:rPr>
          <w:b/>
          <w:lang w:val="en-GB"/>
        </w:rPr>
        <w:t>sTTIs</w:t>
      </w:r>
      <w:proofErr w:type="spellEnd"/>
      <w:r w:rsidRPr="008F3A8D">
        <w:rPr>
          <w:b/>
          <w:lang w:val="en-GB"/>
        </w:rPr>
        <w:t>.</w:t>
      </w:r>
    </w:p>
    <w:p w14:paraId="4A65DEE1" w14:textId="5782D2CC" w:rsidR="00454F52" w:rsidRDefault="00454F52" w:rsidP="00454F52">
      <w:pPr>
        <w:jc w:val="both"/>
        <w:rPr>
          <w:b/>
          <w:lang w:val="en-GB"/>
        </w:rPr>
      </w:pPr>
      <w:r>
        <w:rPr>
          <w:b/>
          <w:lang w:val="en-GB"/>
        </w:rPr>
        <w:t xml:space="preserve">Proposal 5: The maximum number of layers for both 2-symbol and 1-slot </w:t>
      </w:r>
      <w:proofErr w:type="spellStart"/>
      <w:r>
        <w:rPr>
          <w:b/>
          <w:lang w:val="en-GB"/>
        </w:rPr>
        <w:t>sTTIs</w:t>
      </w:r>
      <w:proofErr w:type="spellEnd"/>
      <w:r>
        <w:rPr>
          <w:b/>
          <w:lang w:val="en-GB"/>
        </w:rPr>
        <w:t xml:space="preserve"> in the DL is 4. </w:t>
      </w:r>
    </w:p>
    <w:p w14:paraId="5E3EA7B9" w14:textId="659AC5CC" w:rsidR="00454F52" w:rsidRDefault="00454F52" w:rsidP="00FB578A">
      <w:pPr>
        <w:jc w:val="both"/>
        <w:rPr>
          <w:b/>
          <w:lang w:val="en-GB"/>
        </w:rPr>
      </w:pPr>
      <w:r>
        <w:rPr>
          <w:b/>
          <w:lang w:val="en-GB"/>
        </w:rPr>
        <w:t xml:space="preserve">Proposal 6: Support only 1CW in the UL for both 2-symbol and 1-slot </w:t>
      </w:r>
      <w:proofErr w:type="spellStart"/>
      <w:r>
        <w:rPr>
          <w:b/>
          <w:lang w:val="en-GB"/>
        </w:rPr>
        <w:t>sTTIs</w:t>
      </w:r>
      <w:proofErr w:type="spellEnd"/>
      <w:r>
        <w:rPr>
          <w:b/>
          <w:lang w:val="en-GB"/>
        </w:rPr>
        <w:t>.</w:t>
      </w:r>
    </w:p>
    <w:p w14:paraId="2DCA7F6B" w14:textId="45EAC488" w:rsidR="002F7E01" w:rsidRDefault="00454F52" w:rsidP="00454F52">
      <w:pPr>
        <w:jc w:val="both"/>
        <w:rPr>
          <w:b/>
          <w:lang w:val="en-GB"/>
        </w:rPr>
      </w:pPr>
      <w:r>
        <w:rPr>
          <w:b/>
          <w:lang w:val="en-GB"/>
        </w:rPr>
        <w:t xml:space="preserve">Proposal 7: The maximum number of layers for both 2-symbol and 1-slot </w:t>
      </w:r>
      <w:proofErr w:type="spellStart"/>
      <w:r>
        <w:rPr>
          <w:b/>
          <w:lang w:val="en-GB"/>
        </w:rPr>
        <w:t>sTTIs</w:t>
      </w:r>
      <w:proofErr w:type="spellEnd"/>
      <w:r>
        <w:rPr>
          <w:b/>
          <w:lang w:val="en-GB"/>
        </w:rPr>
        <w:t xml:space="preserve"> in the UL is 2. </w:t>
      </w:r>
    </w:p>
    <w:p w14:paraId="0A05632A" w14:textId="77777777" w:rsidR="002F7E01" w:rsidRDefault="002F7E01" w:rsidP="002F7E01">
      <w:pPr>
        <w:pStyle w:val="Heading3"/>
        <w:keepNext/>
        <w:keepLines/>
        <w:numPr>
          <w:ilvl w:val="1"/>
          <w:numId w:val="44"/>
        </w:numPr>
        <w:jc w:val="both"/>
      </w:pPr>
      <w:r>
        <w:t xml:space="preserve">   Providing Interference Diversity for </w:t>
      </w:r>
      <w:proofErr w:type="spellStart"/>
      <w:r>
        <w:t>sPDSCH</w:t>
      </w:r>
      <w:proofErr w:type="spellEnd"/>
    </w:p>
    <w:p w14:paraId="14349555" w14:textId="6818D5E1" w:rsidR="002F7E01" w:rsidRPr="00FF1CDF" w:rsidRDefault="002F7E01" w:rsidP="00C12F18">
      <w:r w:rsidRPr="0077611B">
        <w:rPr>
          <w:lang w:val="en-GB"/>
        </w:rPr>
        <w:t xml:space="preserve">In the legacy LTE, each DL codeword </w:t>
      </w:r>
      <m:oMath>
        <m:r>
          <w:rPr>
            <w:rFonts w:ascii="Cambria Math" w:hAnsi="Cambria Math"/>
            <w:lang w:val="en-GB"/>
          </w:rPr>
          <m:t>q</m:t>
        </m:r>
      </m:oMath>
      <w:r w:rsidRPr="0077611B">
        <w:rPr>
          <w:lang w:val="en-GB"/>
        </w:rPr>
        <w:t xml:space="preserve"> is scrambled by a scrambling sequence </w:t>
      </w:r>
      <m:oMath>
        <m:sSup>
          <m:sSupPr>
            <m:ctrlPr>
              <w:rPr>
                <w:rFonts w:ascii="Cambria Math" w:hAnsi="Cambria Math"/>
                <w:i/>
                <w:iCs/>
              </w:rPr>
            </m:ctrlPr>
          </m:sSupPr>
          <m:e>
            <m:r>
              <w:rPr>
                <w:rFonts w:ascii="Cambria Math" w:hAnsi="Cambria Math"/>
              </w:rPr>
              <m:t>c</m:t>
            </m:r>
          </m:e>
          <m:sup>
            <m:d>
              <m:dPr>
                <m:ctrlPr>
                  <w:rPr>
                    <w:rFonts w:ascii="Cambria Math" w:hAnsi="Cambria Math"/>
                    <w:i/>
                    <w:iCs/>
                  </w:rPr>
                </m:ctrlPr>
              </m:dPr>
              <m:e>
                <m:r>
                  <w:rPr>
                    <w:rFonts w:ascii="Cambria Math" w:hAnsi="Cambria Math"/>
                  </w:rPr>
                  <m:t>q</m:t>
                </m:r>
              </m:e>
            </m:d>
          </m:sup>
        </m:sSup>
        <m:r>
          <w:rPr>
            <w:rFonts w:ascii="Cambria Math" w:hAnsi="Cambria Math"/>
          </w:rPr>
          <m:t>(i)</m:t>
        </m:r>
      </m:oMath>
      <w:r w:rsidRPr="00FF1CDF">
        <w:t xml:space="preserve"> according to:</w:t>
      </w:r>
    </w:p>
    <w:p w14:paraId="405198D9" w14:textId="77777777" w:rsidR="002F7E01" w:rsidRPr="00C12F18" w:rsidRDefault="001678C4" w:rsidP="00C12F18">
      <w:pPr>
        <w:pStyle w:val="ListParagraph"/>
        <w:ind w:left="384"/>
        <w:jc w:val="both"/>
      </w:pPr>
      <m:oMathPara>
        <m:oMath>
          <m:sSup>
            <m:sSupPr>
              <m:ctrlPr>
                <w:rPr>
                  <w:rFonts w:ascii="Cambria Math" w:hAnsi="Cambria Math"/>
                  <w:iCs/>
                  <w:sz w:val="20"/>
                </w:rPr>
              </m:ctrlPr>
            </m:sSupPr>
            <m:e>
              <m:acc>
                <m:accPr>
                  <m:chr m:val="̃"/>
                  <m:ctrlPr>
                    <w:rPr>
                      <w:rFonts w:ascii="Cambria Math" w:hAnsi="Cambria Math"/>
                      <w:iCs/>
                      <w:sz w:val="20"/>
                    </w:rPr>
                  </m:ctrlPr>
                </m:accPr>
                <m:e>
                  <m:r>
                    <m:rPr>
                      <m:sty m:val="p"/>
                    </m:rPr>
                    <w:rPr>
                      <w:rFonts w:ascii="Cambria Math" w:hAnsi="Cambria Math"/>
                      <w:sz w:val="20"/>
                    </w:rPr>
                    <m:t>b</m:t>
                  </m:r>
                </m:e>
              </m:acc>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r>
            <m:rPr>
              <m:sty m:val="p"/>
            </m:rPr>
            <w:rPr>
              <w:rFonts w:ascii="Cambria Math" w:hAnsi="Cambria Math"/>
              <w:sz w:val="20"/>
            </w:rPr>
            <m:t>=</m:t>
          </m:r>
          <m:d>
            <m:dPr>
              <m:ctrlPr>
                <w:rPr>
                  <w:rFonts w:ascii="Cambria Math" w:hAnsi="Cambria Math"/>
                  <w:iCs/>
                  <w:sz w:val="20"/>
                </w:rPr>
              </m:ctrlPr>
            </m:dPr>
            <m:e>
              <m:sSup>
                <m:sSupPr>
                  <m:ctrlPr>
                    <w:rPr>
                      <w:rFonts w:ascii="Cambria Math" w:hAnsi="Cambria Math"/>
                      <w:iCs/>
                      <w:sz w:val="20"/>
                    </w:rPr>
                  </m:ctrlPr>
                </m:sSupPr>
                <m:e>
                  <m:r>
                    <m:rPr>
                      <m:sty m:val="p"/>
                    </m:rPr>
                    <w:rPr>
                      <w:rFonts w:ascii="Cambria Math" w:hAnsi="Cambria Math"/>
                      <w:sz w:val="20"/>
                    </w:rPr>
                    <m:t>b</m:t>
                  </m:r>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r>
                <m:rPr>
                  <m:sty m:val="p"/>
                </m:rPr>
                <w:rPr>
                  <w:rFonts w:ascii="Cambria Math" w:hAnsi="Cambria Math"/>
                  <w:sz w:val="20"/>
                </w:rPr>
                <m:t>+</m:t>
              </m:r>
              <m:sSup>
                <m:sSupPr>
                  <m:ctrlPr>
                    <w:rPr>
                      <w:rFonts w:ascii="Cambria Math" w:hAnsi="Cambria Math"/>
                      <w:iCs/>
                      <w:sz w:val="20"/>
                    </w:rPr>
                  </m:ctrlPr>
                </m:sSupPr>
                <m:e>
                  <m:r>
                    <m:rPr>
                      <m:sty m:val="p"/>
                    </m:rPr>
                    <w:rPr>
                      <w:rFonts w:ascii="Cambria Math" w:hAnsi="Cambria Math"/>
                      <w:sz w:val="20"/>
                    </w:rPr>
                    <m:t>c</m:t>
                  </m:r>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e>
          </m:d>
          <m:r>
            <m:rPr>
              <m:sty m:val="p"/>
            </m:rPr>
            <w:rPr>
              <w:rFonts w:ascii="Cambria Math" w:hAnsi="Cambria Math"/>
              <w:sz w:val="20"/>
            </w:rPr>
            <m:t>mod2</m:t>
          </m:r>
        </m:oMath>
      </m:oMathPara>
    </w:p>
    <w:p w14:paraId="156194CD" w14:textId="77777777" w:rsidR="002F7E01" w:rsidRPr="00FF1CDF" w:rsidRDefault="002F7E01" w:rsidP="00C12F18">
      <w:r w:rsidRPr="00FF1CDF">
        <w:t>where, the scrambling sequence generator shall be initialized at the start of each subframe according to:</w:t>
      </w:r>
    </w:p>
    <w:p w14:paraId="5B963963" w14:textId="77777777" w:rsidR="002F7E01" w:rsidRPr="0077611B" w:rsidRDefault="001678C4" w:rsidP="00C12F18">
      <w:pPr>
        <w:jc w:val="both"/>
      </w:pPr>
      <m:oMathPara>
        <m:oMathParaPr>
          <m:jc m:val="centerGroup"/>
        </m:oMathParaP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RNTI</m:t>
              </m:r>
            </m:sub>
          </m:sSub>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+q.</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13</m:t>
              </m:r>
            </m:sup>
          </m:sSup>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m:t>
                      </m:r>
                    </m:sub>
                  </m:sSub>
                </m:num>
                <m:den>
                  <m:r>
                    <m:rPr>
                      <m:sty m:val="p"/>
                    </m:rPr>
                    <w:rPr>
                      <w:rFonts w:ascii="Cambria Math" w:hAnsi="Cambria Math"/>
                    </w:rPr>
                    <m:t>2</m:t>
                  </m:r>
                </m:den>
              </m:f>
            </m:e>
          </m:d>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9</m:t>
              </m:r>
            </m:sup>
          </m:s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m:t>
          </m:r>
        </m:oMath>
      </m:oMathPara>
    </w:p>
    <w:p w14:paraId="2D247EA8" w14:textId="55EE34C2" w:rsidR="002F7E01" w:rsidRDefault="002F7E01" w:rsidP="00C12F18">
      <w:pPr>
        <w:jc w:val="both"/>
      </w:pPr>
      <w:r w:rsidRPr="00FF1CDF">
        <w:t xml:space="preserve">Using the same scrambling sequence generator for an </w:t>
      </w:r>
      <w:proofErr w:type="spellStart"/>
      <w:r w:rsidRPr="00FF1CDF">
        <w:t>sTTI</w:t>
      </w:r>
      <w:proofErr w:type="spellEnd"/>
      <w:r w:rsidRPr="00FF1CDF">
        <w:t xml:space="preserve"> operation is not desirable. This is because if the scrambling sequence is set at the subframe boundary, the same sequ</w:t>
      </w:r>
      <w:r>
        <w:t>ence will be used for multiple D</w:t>
      </w:r>
      <w:r w:rsidRPr="00FF1CDF">
        <w:t xml:space="preserve">L </w:t>
      </w:r>
      <w:proofErr w:type="spellStart"/>
      <w:r w:rsidRPr="00FF1CDF">
        <w:t>sTTIs</w:t>
      </w:r>
      <w:proofErr w:type="spellEnd"/>
      <w:r w:rsidRPr="00FF1CDF">
        <w:t>.</w:t>
      </w:r>
      <w:r>
        <w:t xml:space="preserve"> Hence, in order to gain from interference diversity, the scrambling sequence initialization should be dependent on the </w:t>
      </w:r>
      <w:proofErr w:type="spellStart"/>
      <w:r>
        <w:t>sTTI</w:t>
      </w:r>
      <w:proofErr w:type="spellEnd"/>
      <w:r>
        <w:t xml:space="preserve"> index, or even each OFDM symbol index. Further, </w:t>
      </w:r>
      <w:r w:rsidRPr="00987AC8">
        <w:t>the scrambling sequence can be dependent on whether it is used for the initial transmission or retransmissions.</w:t>
      </w:r>
      <w:r>
        <w:t xml:space="preserve"> Hence, we have that:</w:t>
      </w:r>
    </w:p>
    <w:p w14:paraId="45A14590" w14:textId="4546C825" w:rsidR="002F7E01" w:rsidRPr="00C12F18" w:rsidRDefault="002F7E01" w:rsidP="00F642DF">
      <w:pPr>
        <w:jc w:val="both"/>
        <w:rPr>
          <w:b/>
        </w:rPr>
      </w:pPr>
      <w:r>
        <w:rPr>
          <w:b/>
        </w:rPr>
        <w:t xml:space="preserve">Proposal </w:t>
      </w:r>
      <w:r w:rsidR="00454F52">
        <w:rPr>
          <w:b/>
        </w:rPr>
        <w:t>8</w:t>
      </w:r>
      <w:r w:rsidRPr="00C12F18">
        <w:rPr>
          <w:b/>
        </w:rPr>
        <w:t xml:space="preserve">: For the </w:t>
      </w:r>
      <w:r>
        <w:rPr>
          <w:b/>
        </w:rPr>
        <w:t>D</w:t>
      </w:r>
      <w:r w:rsidRPr="00C12F18">
        <w:rPr>
          <w:b/>
        </w:rPr>
        <w:t xml:space="preserve">L </w:t>
      </w:r>
      <w:proofErr w:type="spellStart"/>
      <w:r w:rsidRPr="00C12F18">
        <w:rPr>
          <w:b/>
        </w:rPr>
        <w:t>sTTI</w:t>
      </w:r>
      <w:proofErr w:type="spellEnd"/>
      <w:r w:rsidRPr="00C12F18">
        <w:rPr>
          <w:b/>
        </w:rPr>
        <w:t xml:space="preserve"> operation, each codeword is scrambled by a sequence that is initialized differently based on </w:t>
      </w:r>
      <w:r>
        <w:rPr>
          <w:b/>
        </w:rPr>
        <w:t xml:space="preserve">the </w:t>
      </w:r>
      <w:proofErr w:type="spellStart"/>
      <w:r w:rsidRPr="00C12F18">
        <w:rPr>
          <w:b/>
        </w:rPr>
        <w:t>sTTI</w:t>
      </w:r>
      <w:proofErr w:type="spellEnd"/>
      <w:r w:rsidRPr="00C12F18">
        <w:rPr>
          <w:b/>
        </w:rPr>
        <w:t xml:space="preserve"> index</w:t>
      </w:r>
      <w:r w:rsidR="00F642DF">
        <w:rPr>
          <w:b/>
        </w:rPr>
        <w:t>.</w:t>
      </w:r>
    </w:p>
    <w:p w14:paraId="2F77E7C7" w14:textId="3605C8B0" w:rsidR="00491EEE" w:rsidRDefault="0029664A" w:rsidP="00843B71">
      <w:pPr>
        <w:pStyle w:val="Heading1"/>
        <w:jc w:val="both"/>
      </w:pPr>
      <w:r>
        <w:t>3</w:t>
      </w:r>
      <w:r w:rsidR="00491EEE" w:rsidRPr="00E05A22">
        <w:tab/>
        <w:t xml:space="preserve">Conclusions </w:t>
      </w:r>
    </w:p>
    <w:p w14:paraId="13995FFB" w14:textId="77777777" w:rsidR="001B200D" w:rsidRPr="001B200D" w:rsidRDefault="001B200D" w:rsidP="001B200D">
      <w:pPr>
        <w:jc w:val="both"/>
        <w:rPr>
          <w:b/>
          <w:lang w:val="en-GB"/>
        </w:rPr>
      </w:pPr>
      <w:r w:rsidRPr="001B200D">
        <w:rPr>
          <w:b/>
          <w:lang w:val="en-GB"/>
        </w:rPr>
        <w:t xml:space="preserve">Proposal 1: The </w:t>
      </w:r>
      <w:proofErr w:type="spellStart"/>
      <w:r w:rsidRPr="001B200D">
        <w:rPr>
          <w:b/>
          <w:lang w:val="en-GB"/>
        </w:rPr>
        <w:t>sRBG</w:t>
      </w:r>
      <w:proofErr w:type="spellEnd"/>
      <w:r w:rsidRPr="001B200D">
        <w:rPr>
          <w:b/>
          <w:lang w:val="en-GB"/>
        </w:rPr>
        <w:t xml:space="preserve"> size in each system bandwidth is 4 times larger than the legacy RBG size.</w:t>
      </w:r>
    </w:p>
    <w:p w14:paraId="782A9BF4" w14:textId="77777777" w:rsidR="00454F52" w:rsidRDefault="00454F52" w:rsidP="00454F52">
      <w:pPr>
        <w:jc w:val="both"/>
        <w:rPr>
          <w:b/>
          <w:bCs/>
          <w:lang w:val="en-GB"/>
        </w:rPr>
      </w:pPr>
      <w:r w:rsidRPr="005D260C">
        <w:rPr>
          <w:b/>
          <w:bCs/>
          <w:lang w:val="en-GB"/>
        </w:rPr>
        <w:lastRenderedPageBreak/>
        <w:t>Proposal 2:</w:t>
      </w:r>
      <w:r>
        <w:rPr>
          <w:lang w:val="en-GB"/>
        </w:rPr>
        <w:t xml:space="preserve"> </w:t>
      </w:r>
      <w:r w:rsidRPr="00093618">
        <w:rPr>
          <w:b/>
          <w:lang w:val="en-GB"/>
        </w:rPr>
        <w:t xml:space="preserve">For </w:t>
      </w:r>
      <w:r>
        <w:rPr>
          <w:b/>
          <w:lang w:val="en-GB"/>
        </w:rPr>
        <w:t xml:space="preserve">computing the </w:t>
      </w:r>
      <w:r w:rsidRPr="00093618">
        <w:rPr>
          <w:b/>
          <w:lang w:val="en-GB"/>
        </w:rPr>
        <w:t xml:space="preserve">TBS of </w:t>
      </w:r>
      <w:r>
        <w:rPr>
          <w:b/>
          <w:lang w:val="en-GB"/>
        </w:rPr>
        <w:t xml:space="preserve">a 2-symbol </w:t>
      </w:r>
      <w:proofErr w:type="spellStart"/>
      <w:r>
        <w:rPr>
          <w:b/>
          <w:lang w:val="en-GB"/>
        </w:rPr>
        <w:t>sTTI</w:t>
      </w:r>
      <w:proofErr w:type="spellEnd"/>
      <w:r>
        <w:rPr>
          <w:b/>
          <w:lang w:val="en-GB"/>
        </w:rPr>
        <w:t xml:space="preserve"> in the DL,</w:t>
      </w:r>
      <w:r w:rsidRPr="00093618">
        <w:rPr>
          <w:b/>
          <w:lang w:val="en-GB"/>
        </w:rPr>
        <w:t xml:space="preserve"> the number of PRBs used to index the TBS block size table is determined by a floored scaling operation by a </w:t>
      </w:r>
      <w:r>
        <w:rPr>
          <w:b/>
          <w:lang w:val="en-GB"/>
        </w:rPr>
        <w:t>factor</w:t>
      </w:r>
      <w:r w:rsidRPr="00093618">
        <w:rPr>
          <w:b/>
          <w:lang w:val="en-GB"/>
        </w:rPr>
        <w:t xml:space="preserve"> </w:t>
      </w:r>
      <w:r>
        <w:rPr>
          <w:b/>
          <w:lang w:val="en-GB"/>
        </w:rPr>
        <w:t xml:space="preserve">of </w:t>
      </w:r>
      <m:oMath>
        <m:r>
          <m:rPr>
            <m:sty m:val="bi"/>
          </m:rPr>
          <w:rPr>
            <w:rFonts w:ascii="Cambria Math" w:hAnsi="Cambria Math"/>
            <w:lang w:val="en-GB"/>
          </w:rPr>
          <m:t>α</m:t>
        </m:r>
      </m:oMath>
      <w:r>
        <w:rPr>
          <w:b/>
          <w:lang w:val="en-GB"/>
        </w:rPr>
        <w:t xml:space="preserve"> </w:t>
      </w:r>
      <w:r w:rsidRPr="00093618">
        <w:rPr>
          <w:b/>
          <w:lang w:val="en-GB"/>
        </w:rPr>
        <w:t xml:space="preserve">on the allocation PRB size of the </w:t>
      </w:r>
      <w:proofErr w:type="spellStart"/>
      <w:r w:rsidRPr="00093618">
        <w:rPr>
          <w:b/>
          <w:lang w:val="en-GB"/>
        </w:rPr>
        <w:t>sTTI</w:t>
      </w:r>
      <w:proofErr w:type="spellEnd"/>
      <w:r>
        <w:rPr>
          <w:b/>
          <w:lang w:val="en-GB"/>
        </w:rPr>
        <w:t xml:space="preserve">, i.e., </w:t>
      </w:r>
      <w:r w:rsidRPr="005D260C">
        <w:rPr>
          <w:b/>
          <w:bCs/>
          <w:lang w:val="en-GB"/>
        </w:rPr>
        <w:t xml:space="preserve">NPRB = max( </w:t>
      </w:r>
      <w:r w:rsidRPr="005D260C">
        <w:rPr>
          <w:b/>
          <w:bCs/>
          <w:lang w:val="en-GB"/>
        </w:rPr>
        <w:sym w:font="Symbol" w:char="F0EB"/>
      </w:r>
      <w:r>
        <w:rPr>
          <w:b/>
          <w:bCs/>
          <w:lang w:val="en-GB"/>
        </w:rPr>
        <w:t xml:space="preserve">NPRB_2sym_sTTI / </w:t>
      </w:r>
      <m:oMath>
        <m:r>
          <m:rPr>
            <m:sty m:val="bi"/>
          </m:rPr>
          <w:rPr>
            <w:rFonts w:ascii="Cambria Math" w:hAnsi="Cambria Math"/>
            <w:lang w:val="en-GB"/>
          </w:rPr>
          <m:t>α</m:t>
        </m:r>
      </m:oMath>
      <w:r w:rsidRPr="005D260C">
        <w:rPr>
          <w:b/>
          <w:bCs/>
          <w:lang w:val="en-GB"/>
        </w:rPr>
        <w:sym w:font="Symbol" w:char="F0FB"/>
      </w:r>
      <w:r w:rsidRPr="005D260C">
        <w:rPr>
          <w:b/>
          <w:bCs/>
          <w:lang w:val="en-GB"/>
        </w:rPr>
        <w:t>, 1</w:t>
      </w:r>
      <w:r>
        <w:rPr>
          <w:b/>
          <w:bCs/>
          <w:lang w:val="en-GB"/>
        </w:rPr>
        <w:t xml:space="preserve">), where </w:t>
      </w:r>
      <m:oMath>
        <m:r>
          <m:rPr>
            <m:sty m:val="bi"/>
          </m:rPr>
          <w:rPr>
            <w:rFonts w:ascii="Cambria Math" w:hAnsi="Cambria Math"/>
            <w:lang w:val="en-GB"/>
          </w:rPr>
          <m:t>α</m:t>
        </m:r>
      </m:oMath>
      <w:r>
        <w:rPr>
          <w:b/>
          <w:bCs/>
          <w:lang w:val="en-GB"/>
        </w:rPr>
        <w:t xml:space="preserve"> is the same across all sTTIs.</w:t>
      </w:r>
    </w:p>
    <w:p w14:paraId="15ADC938" w14:textId="77777777" w:rsidR="00454F52" w:rsidRDefault="00454F52" w:rsidP="00454F52">
      <w:pPr>
        <w:jc w:val="both"/>
        <w:rPr>
          <w:b/>
          <w:bCs/>
          <w:lang w:val="en-GB"/>
        </w:rPr>
      </w:pPr>
      <w:r>
        <w:rPr>
          <w:b/>
          <w:lang w:val="en-GB"/>
        </w:rPr>
        <w:t xml:space="preserve">Proposal 3: For computing the TBS of a 1-slot </w:t>
      </w:r>
      <w:proofErr w:type="spellStart"/>
      <w:r>
        <w:rPr>
          <w:b/>
          <w:lang w:val="en-GB"/>
        </w:rPr>
        <w:t>sTTI</w:t>
      </w:r>
      <w:proofErr w:type="spellEnd"/>
      <w:r>
        <w:rPr>
          <w:b/>
          <w:lang w:val="en-GB"/>
        </w:rPr>
        <w:t xml:space="preserve"> in the DL, </w:t>
      </w:r>
      <w:r w:rsidRPr="00093618">
        <w:rPr>
          <w:b/>
          <w:lang w:val="en-GB"/>
        </w:rPr>
        <w:t xml:space="preserve">the number of PRBs used to index the TBS block size table is determined by a floored scaling operation by a </w:t>
      </w:r>
      <w:r>
        <w:rPr>
          <w:b/>
          <w:lang w:val="en-GB"/>
        </w:rPr>
        <w:t>factor</w:t>
      </w:r>
      <w:r w:rsidRPr="00093618">
        <w:rPr>
          <w:b/>
          <w:lang w:val="en-GB"/>
        </w:rPr>
        <w:t xml:space="preserve"> </w:t>
      </w:r>
      <w:r>
        <w:rPr>
          <w:b/>
          <w:lang w:val="en-GB"/>
        </w:rPr>
        <w:t xml:space="preserve">of </w:t>
      </w:r>
      <m:oMath>
        <m:r>
          <m:rPr>
            <m:sty m:val="bi"/>
          </m:rPr>
          <w:rPr>
            <w:rFonts w:ascii="Cambria Math" w:hAnsi="Cambria Math"/>
            <w:lang w:val="en-GB"/>
          </w:rPr>
          <m:t>α</m:t>
        </m:r>
      </m:oMath>
      <w:r>
        <w:rPr>
          <w:b/>
          <w:lang w:val="en-GB"/>
        </w:rPr>
        <w:t xml:space="preserve"> </w:t>
      </w:r>
      <w:r w:rsidRPr="00093618">
        <w:rPr>
          <w:b/>
          <w:lang w:val="en-GB"/>
        </w:rPr>
        <w:t xml:space="preserve">on the allocation PRB size of the </w:t>
      </w:r>
      <w:proofErr w:type="spellStart"/>
      <w:r w:rsidRPr="00093618">
        <w:rPr>
          <w:b/>
          <w:lang w:val="en-GB"/>
        </w:rPr>
        <w:t>sTTI</w:t>
      </w:r>
      <w:proofErr w:type="spellEnd"/>
      <w:r>
        <w:rPr>
          <w:b/>
          <w:lang w:val="en-GB"/>
        </w:rPr>
        <w:t xml:space="preserve">, i.e., </w:t>
      </w:r>
      <w:r w:rsidRPr="005D260C">
        <w:rPr>
          <w:b/>
          <w:bCs/>
          <w:lang w:val="en-GB"/>
        </w:rPr>
        <w:t xml:space="preserve">NPRB = max( </w:t>
      </w:r>
      <w:r w:rsidRPr="005D260C">
        <w:rPr>
          <w:b/>
          <w:bCs/>
          <w:lang w:val="en-GB"/>
        </w:rPr>
        <w:sym w:font="Symbol" w:char="F0EB"/>
      </w:r>
      <w:r>
        <w:rPr>
          <w:b/>
          <w:bCs/>
          <w:lang w:val="en-GB"/>
        </w:rPr>
        <w:t xml:space="preserve">NPRB_1_slot_sTTI / </w:t>
      </w:r>
      <m:oMath>
        <m:r>
          <m:rPr>
            <m:sty m:val="bi"/>
          </m:rPr>
          <w:rPr>
            <w:rFonts w:ascii="Cambria Math" w:hAnsi="Cambria Math"/>
            <w:lang w:val="en-GB"/>
          </w:rPr>
          <m:t>α</m:t>
        </m:r>
      </m:oMath>
      <w:r w:rsidRPr="005D260C">
        <w:rPr>
          <w:b/>
          <w:bCs/>
          <w:lang w:val="en-GB"/>
        </w:rPr>
        <w:sym w:font="Symbol" w:char="F0FB"/>
      </w:r>
      <w:r w:rsidRPr="005D260C">
        <w:rPr>
          <w:b/>
          <w:bCs/>
          <w:lang w:val="en-GB"/>
        </w:rPr>
        <w:t>, 1</w:t>
      </w:r>
      <w:r>
        <w:rPr>
          <w:b/>
          <w:bCs/>
          <w:lang w:val="en-GB"/>
        </w:rPr>
        <w:t xml:space="preserve">), where </w:t>
      </w:r>
      <m:oMath>
        <m:r>
          <m:rPr>
            <m:sty m:val="bi"/>
          </m:rPr>
          <w:rPr>
            <w:rFonts w:ascii="Cambria Math" w:hAnsi="Cambria Math"/>
            <w:lang w:val="en-GB"/>
          </w:rPr>
          <m:t>α</m:t>
        </m:r>
      </m:oMath>
      <w:r>
        <w:rPr>
          <w:b/>
          <w:bCs/>
          <w:lang w:val="en-GB"/>
        </w:rPr>
        <w:t xml:space="preserve"> could possibly be defined differently for slot0 and slot1.</w:t>
      </w:r>
    </w:p>
    <w:p w14:paraId="6C1A2B8D" w14:textId="77777777" w:rsidR="009B02E3" w:rsidRDefault="009B02E3" w:rsidP="009B02E3">
      <w:pPr>
        <w:jc w:val="both"/>
        <w:rPr>
          <w:b/>
          <w:lang w:val="en-GB"/>
        </w:rPr>
      </w:pPr>
      <w:r w:rsidRPr="008F3A8D">
        <w:rPr>
          <w:b/>
          <w:lang w:val="en-GB"/>
        </w:rPr>
        <w:t xml:space="preserve">Proposal </w:t>
      </w:r>
      <w:r>
        <w:rPr>
          <w:b/>
          <w:lang w:val="en-GB"/>
        </w:rPr>
        <w:t>4</w:t>
      </w:r>
      <w:r w:rsidRPr="008F3A8D">
        <w:rPr>
          <w:b/>
          <w:lang w:val="en-GB"/>
        </w:rPr>
        <w:t xml:space="preserve">: </w:t>
      </w:r>
      <w:r>
        <w:rPr>
          <w:b/>
          <w:lang w:val="en-GB"/>
        </w:rPr>
        <w:t xml:space="preserve">In the DL, support 2CWs, while some of the MCS/NDI/RV parameters are set the same for both 2-symbol and 1-slot </w:t>
      </w:r>
      <w:proofErr w:type="spellStart"/>
      <w:r>
        <w:rPr>
          <w:b/>
          <w:lang w:val="en-GB"/>
        </w:rPr>
        <w:t>sTTIs</w:t>
      </w:r>
      <w:proofErr w:type="spellEnd"/>
      <w:r w:rsidRPr="008F3A8D">
        <w:rPr>
          <w:b/>
          <w:lang w:val="en-GB"/>
        </w:rPr>
        <w:t>.</w:t>
      </w:r>
    </w:p>
    <w:p w14:paraId="6C403CF4" w14:textId="77777777" w:rsidR="00454F52" w:rsidRDefault="00454F52" w:rsidP="00454F52">
      <w:pPr>
        <w:jc w:val="both"/>
        <w:rPr>
          <w:b/>
          <w:lang w:val="en-GB"/>
        </w:rPr>
      </w:pPr>
      <w:r>
        <w:rPr>
          <w:b/>
          <w:lang w:val="en-GB"/>
        </w:rPr>
        <w:t xml:space="preserve">Proposal 5: The maximum number of layers for both 2-symbol and 1-slot </w:t>
      </w:r>
      <w:proofErr w:type="spellStart"/>
      <w:r>
        <w:rPr>
          <w:b/>
          <w:lang w:val="en-GB"/>
        </w:rPr>
        <w:t>sTTIs</w:t>
      </w:r>
      <w:proofErr w:type="spellEnd"/>
      <w:r>
        <w:rPr>
          <w:b/>
          <w:lang w:val="en-GB"/>
        </w:rPr>
        <w:t xml:space="preserve"> in the DL is 4. </w:t>
      </w:r>
    </w:p>
    <w:p w14:paraId="776F428A" w14:textId="77777777" w:rsidR="00454F52" w:rsidRDefault="00454F52" w:rsidP="00454F52">
      <w:pPr>
        <w:jc w:val="both"/>
        <w:rPr>
          <w:b/>
          <w:lang w:val="en-GB"/>
        </w:rPr>
      </w:pPr>
      <w:r>
        <w:rPr>
          <w:b/>
          <w:lang w:val="en-GB"/>
        </w:rPr>
        <w:t xml:space="preserve">Proposal 6: Support only 1CW in the UL for both 2-symbol and 1-slot </w:t>
      </w:r>
      <w:proofErr w:type="spellStart"/>
      <w:r>
        <w:rPr>
          <w:b/>
          <w:lang w:val="en-GB"/>
        </w:rPr>
        <w:t>sTTIs</w:t>
      </w:r>
      <w:proofErr w:type="spellEnd"/>
      <w:r>
        <w:rPr>
          <w:b/>
          <w:lang w:val="en-GB"/>
        </w:rPr>
        <w:t>.</w:t>
      </w:r>
    </w:p>
    <w:p w14:paraId="0258A98A" w14:textId="77777777" w:rsidR="00454F52" w:rsidRDefault="00454F52" w:rsidP="00454F52">
      <w:pPr>
        <w:jc w:val="both"/>
        <w:rPr>
          <w:b/>
          <w:lang w:val="en-GB"/>
        </w:rPr>
      </w:pPr>
      <w:r>
        <w:rPr>
          <w:b/>
          <w:lang w:val="en-GB"/>
        </w:rPr>
        <w:t xml:space="preserve">Proposal 7: The maximum number of layers for both 2-symbol and 1-slot </w:t>
      </w:r>
      <w:proofErr w:type="spellStart"/>
      <w:r>
        <w:rPr>
          <w:b/>
          <w:lang w:val="en-GB"/>
        </w:rPr>
        <w:t>sTTIs</w:t>
      </w:r>
      <w:proofErr w:type="spellEnd"/>
      <w:r>
        <w:rPr>
          <w:b/>
          <w:lang w:val="en-GB"/>
        </w:rPr>
        <w:t xml:space="preserve"> in the UL is 2. </w:t>
      </w:r>
    </w:p>
    <w:p w14:paraId="6EF717EE" w14:textId="77777777" w:rsidR="00F642DF" w:rsidRPr="00C12F18" w:rsidRDefault="00F642DF" w:rsidP="00F642DF">
      <w:pPr>
        <w:jc w:val="both"/>
        <w:rPr>
          <w:b/>
        </w:rPr>
      </w:pPr>
      <w:r>
        <w:rPr>
          <w:b/>
        </w:rPr>
        <w:t>Proposal 8</w:t>
      </w:r>
      <w:r w:rsidRPr="00C12F18">
        <w:rPr>
          <w:b/>
        </w:rPr>
        <w:t xml:space="preserve">: For the </w:t>
      </w:r>
      <w:r>
        <w:rPr>
          <w:b/>
        </w:rPr>
        <w:t>D</w:t>
      </w:r>
      <w:r w:rsidRPr="00C12F18">
        <w:rPr>
          <w:b/>
        </w:rPr>
        <w:t xml:space="preserve">L </w:t>
      </w:r>
      <w:proofErr w:type="spellStart"/>
      <w:r w:rsidRPr="00C12F18">
        <w:rPr>
          <w:b/>
        </w:rPr>
        <w:t>sTTI</w:t>
      </w:r>
      <w:proofErr w:type="spellEnd"/>
      <w:r w:rsidRPr="00C12F18">
        <w:rPr>
          <w:b/>
        </w:rPr>
        <w:t xml:space="preserve"> operation, each codeword is scrambled by a sequence that is initialized differently based on </w:t>
      </w:r>
      <w:r>
        <w:rPr>
          <w:b/>
        </w:rPr>
        <w:t xml:space="preserve">the </w:t>
      </w:r>
      <w:proofErr w:type="spellStart"/>
      <w:r w:rsidRPr="00C12F18">
        <w:rPr>
          <w:b/>
        </w:rPr>
        <w:t>sTTI</w:t>
      </w:r>
      <w:proofErr w:type="spellEnd"/>
      <w:r w:rsidRPr="00C12F18">
        <w:rPr>
          <w:b/>
        </w:rPr>
        <w:t xml:space="preserve"> index</w:t>
      </w:r>
      <w:r>
        <w:rPr>
          <w:b/>
        </w:rPr>
        <w:t>.</w:t>
      </w:r>
    </w:p>
    <w:p w14:paraId="6E1B4D61" w14:textId="77777777" w:rsidR="00D61F29" w:rsidRPr="00553FCF" w:rsidRDefault="00D61F29" w:rsidP="00553FCF">
      <w:pPr>
        <w:jc w:val="both"/>
        <w:rPr>
          <w:b/>
          <w:lang w:val="en-GB"/>
        </w:rPr>
      </w:pPr>
    </w:p>
    <w:sectPr w:rsidR="00D61F29" w:rsidRPr="00553FCF"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C0F96" w14:textId="77777777" w:rsidR="001678C4" w:rsidRDefault="001678C4">
      <w:r>
        <w:separator/>
      </w:r>
    </w:p>
  </w:endnote>
  <w:endnote w:type="continuationSeparator" w:id="0">
    <w:p w14:paraId="2AE38F01" w14:textId="77777777" w:rsidR="001678C4" w:rsidRDefault="001678C4">
      <w:r>
        <w:continuationSeparator/>
      </w:r>
    </w:p>
  </w:endnote>
  <w:endnote w:type="continuationNotice" w:id="1">
    <w:p w14:paraId="39067AD8" w14:textId="77777777" w:rsidR="001678C4" w:rsidRDefault="00167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53D0759"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4DD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4DD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70902" w14:textId="77777777" w:rsidR="001678C4" w:rsidRDefault="001678C4">
      <w:r>
        <w:separator/>
      </w:r>
    </w:p>
  </w:footnote>
  <w:footnote w:type="continuationSeparator" w:id="0">
    <w:p w14:paraId="5232F212" w14:textId="77777777" w:rsidR="001678C4" w:rsidRDefault="001678C4">
      <w:r>
        <w:continuationSeparator/>
      </w:r>
    </w:p>
  </w:footnote>
  <w:footnote w:type="continuationNotice" w:id="1">
    <w:p w14:paraId="768612A0" w14:textId="77777777" w:rsidR="001678C4" w:rsidRDefault="00167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62A81"/>
    <w:multiLevelType w:val="hybridMultilevel"/>
    <w:tmpl w:val="946221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42E5A"/>
    <w:multiLevelType w:val="hybridMultilevel"/>
    <w:tmpl w:val="2BA6F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132A3"/>
    <w:multiLevelType w:val="hybridMultilevel"/>
    <w:tmpl w:val="C052BD6C"/>
    <w:lvl w:ilvl="0" w:tplc="5F1878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007792"/>
    <w:multiLevelType w:val="hybridMultilevel"/>
    <w:tmpl w:val="8B9C6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28"/>
  </w:num>
  <w:num w:numId="4">
    <w:abstractNumId w:val="5"/>
  </w:num>
  <w:num w:numId="5">
    <w:abstractNumId w:val="13"/>
  </w:num>
  <w:num w:numId="6">
    <w:abstractNumId w:val="44"/>
  </w:num>
  <w:num w:numId="7">
    <w:abstractNumId w:val="22"/>
  </w:num>
  <w:num w:numId="8">
    <w:abstractNumId w:val="23"/>
  </w:num>
  <w:num w:numId="9">
    <w:abstractNumId w:val="21"/>
  </w:num>
  <w:num w:numId="10">
    <w:abstractNumId w:val="34"/>
  </w:num>
  <w:num w:numId="11">
    <w:abstractNumId w:val="8"/>
  </w:num>
  <w:num w:numId="12">
    <w:abstractNumId w:val="14"/>
  </w:num>
  <w:num w:numId="13">
    <w:abstractNumId w:val="12"/>
  </w:num>
  <w:num w:numId="14">
    <w:abstractNumId w:val="10"/>
  </w:num>
  <w:num w:numId="15">
    <w:abstractNumId w:val="40"/>
  </w:num>
  <w:num w:numId="16">
    <w:abstractNumId w:val="48"/>
  </w:num>
  <w:num w:numId="17">
    <w:abstractNumId w:val="24"/>
  </w:num>
  <w:num w:numId="18">
    <w:abstractNumId w:val="37"/>
  </w:num>
  <w:num w:numId="19">
    <w:abstractNumId w:val="47"/>
  </w:num>
  <w:num w:numId="20">
    <w:abstractNumId w:val="30"/>
  </w:num>
  <w:num w:numId="21">
    <w:abstractNumId w:val="41"/>
  </w:num>
  <w:num w:numId="22">
    <w:abstractNumId w:val="45"/>
  </w:num>
  <w:num w:numId="23">
    <w:abstractNumId w:val="16"/>
  </w:num>
  <w:num w:numId="24">
    <w:abstractNumId w:val="27"/>
  </w:num>
  <w:num w:numId="25">
    <w:abstractNumId w:val="4"/>
  </w:num>
  <w:num w:numId="26">
    <w:abstractNumId w:val="43"/>
  </w:num>
  <w:num w:numId="27">
    <w:abstractNumId w:val="17"/>
  </w:num>
  <w:num w:numId="28">
    <w:abstractNumId w:val="42"/>
  </w:num>
  <w:num w:numId="29">
    <w:abstractNumId w:val="46"/>
  </w:num>
  <w:num w:numId="30">
    <w:abstractNumId w:val="3"/>
  </w:num>
  <w:num w:numId="31">
    <w:abstractNumId w:val="18"/>
  </w:num>
  <w:num w:numId="32">
    <w:abstractNumId w:val="1"/>
  </w:num>
  <w:num w:numId="33">
    <w:abstractNumId w:val="33"/>
  </w:num>
  <w:num w:numId="34">
    <w:abstractNumId w:val="31"/>
  </w:num>
  <w:num w:numId="35">
    <w:abstractNumId w:val="35"/>
  </w:num>
  <w:num w:numId="36">
    <w:abstractNumId w:val="0"/>
  </w:num>
  <w:num w:numId="37">
    <w:abstractNumId w:val="9"/>
  </w:num>
  <w:num w:numId="38">
    <w:abstractNumId w:val="32"/>
  </w:num>
  <w:num w:numId="39">
    <w:abstractNumId w:val="25"/>
  </w:num>
  <w:num w:numId="40">
    <w:abstractNumId w:val="39"/>
  </w:num>
  <w:num w:numId="41">
    <w:abstractNumId w:val="7"/>
  </w:num>
  <w:num w:numId="42">
    <w:abstractNumId w:val="38"/>
  </w:num>
  <w:num w:numId="43">
    <w:abstractNumId w:val="2"/>
  </w:num>
  <w:num w:numId="44">
    <w:abstractNumId w:val="29"/>
  </w:num>
  <w:num w:numId="45">
    <w:abstractNumId w:val="15"/>
  </w:num>
  <w:num w:numId="46">
    <w:abstractNumId w:val="19"/>
  </w:num>
  <w:num w:numId="47">
    <w:abstractNumId w:val="36"/>
  </w:num>
  <w:num w:numId="48">
    <w:abstractNumId w:val="26"/>
  </w:num>
  <w:num w:numId="4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300FE"/>
    <w:rsid w:val="00030CDB"/>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396"/>
    <w:rsid w:val="00077EB9"/>
    <w:rsid w:val="000801D8"/>
    <w:rsid w:val="00080783"/>
    <w:rsid w:val="0008257A"/>
    <w:rsid w:val="00083322"/>
    <w:rsid w:val="000840E7"/>
    <w:rsid w:val="00084255"/>
    <w:rsid w:val="000843B8"/>
    <w:rsid w:val="00084C78"/>
    <w:rsid w:val="00085465"/>
    <w:rsid w:val="00085C0B"/>
    <w:rsid w:val="00086602"/>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4BD"/>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8C4"/>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00D"/>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1A4"/>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0E90"/>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64A"/>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8F5"/>
    <w:rsid w:val="002E6C03"/>
    <w:rsid w:val="002F0045"/>
    <w:rsid w:val="002F025B"/>
    <w:rsid w:val="002F0A26"/>
    <w:rsid w:val="002F1E03"/>
    <w:rsid w:val="002F2AE0"/>
    <w:rsid w:val="002F2FB7"/>
    <w:rsid w:val="002F3827"/>
    <w:rsid w:val="002F413F"/>
    <w:rsid w:val="002F44AD"/>
    <w:rsid w:val="002F45D3"/>
    <w:rsid w:val="002F48EE"/>
    <w:rsid w:val="002F53C6"/>
    <w:rsid w:val="002F5C18"/>
    <w:rsid w:val="002F5FDA"/>
    <w:rsid w:val="002F7D48"/>
    <w:rsid w:val="002F7E01"/>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1D7D"/>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0C3"/>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4837"/>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4F52"/>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1B27"/>
    <w:rsid w:val="004820E3"/>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048"/>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D78D3"/>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2DD"/>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62B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0B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B27"/>
    <w:rsid w:val="005A6CB4"/>
    <w:rsid w:val="005A7ECD"/>
    <w:rsid w:val="005A7F72"/>
    <w:rsid w:val="005B097C"/>
    <w:rsid w:val="005B1CC4"/>
    <w:rsid w:val="005B1D3E"/>
    <w:rsid w:val="005B2EB8"/>
    <w:rsid w:val="005B33A1"/>
    <w:rsid w:val="005B5251"/>
    <w:rsid w:val="005B533B"/>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60C"/>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802"/>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0A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4DD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416"/>
    <w:rsid w:val="00754E83"/>
    <w:rsid w:val="00754FB6"/>
    <w:rsid w:val="00755151"/>
    <w:rsid w:val="0075578C"/>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26E"/>
    <w:rsid w:val="007678B6"/>
    <w:rsid w:val="007721AD"/>
    <w:rsid w:val="007726FB"/>
    <w:rsid w:val="00772D15"/>
    <w:rsid w:val="00772DC3"/>
    <w:rsid w:val="00773141"/>
    <w:rsid w:val="00773D67"/>
    <w:rsid w:val="00774BC1"/>
    <w:rsid w:val="00774E6B"/>
    <w:rsid w:val="00775F11"/>
    <w:rsid w:val="0077611B"/>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203"/>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481"/>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2C72"/>
    <w:rsid w:val="009331E9"/>
    <w:rsid w:val="00933241"/>
    <w:rsid w:val="00933DE4"/>
    <w:rsid w:val="009353FF"/>
    <w:rsid w:val="00935B7C"/>
    <w:rsid w:val="0093629E"/>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040A"/>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709"/>
    <w:rsid w:val="009A2968"/>
    <w:rsid w:val="009A3DBF"/>
    <w:rsid w:val="009A43FF"/>
    <w:rsid w:val="009A637B"/>
    <w:rsid w:val="009A67CD"/>
    <w:rsid w:val="009A788B"/>
    <w:rsid w:val="009A7E1C"/>
    <w:rsid w:val="009B003C"/>
    <w:rsid w:val="009B02E3"/>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22A"/>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3A79"/>
    <w:rsid w:val="00A53EF2"/>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FA"/>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A14"/>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4DC1"/>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A20"/>
    <w:rsid w:val="00B52D01"/>
    <w:rsid w:val="00B5470C"/>
    <w:rsid w:val="00B54CD5"/>
    <w:rsid w:val="00B5510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C88"/>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2A2"/>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4C34"/>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2F18"/>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C71"/>
    <w:rsid w:val="00C82D09"/>
    <w:rsid w:val="00C82E5F"/>
    <w:rsid w:val="00C83234"/>
    <w:rsid w:val="00C8338A"/>
    <w:rsid w:val="00C84103"/>
    <w:rsid w:val="00C84711"/>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3E63"/>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245"/>
    <w:rsid w:val="00D535D2"/>
    <w:rsid w:val="00D53710"/>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1F29"/>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19D0"/>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59CE"/>
    <w:rsid w:val="00DA631B"/>
    <w:rsid w:val="00DA6B8E"/>
    <w:rsid w:val="00DA7074"/>
    <w:rsid w:val="00DA727D"/>
    <w:rsid w:val="00DA74E7"/>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D71"/>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2D17"/>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4F9F"/>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A7ADD"/>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1DB7"/>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1A0"/>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2D0B"/>
    <w:rsid w:val="00F0301D"/>
    <w:rsid w:val="00F03891"/>
    <w:rsid w:val="00F046B1"/>
    <w:rsid w:val="00F04CF6"/>
    <w:rsid w:val="00F04ED5"/>
    <w:rsid w:val="00F05BA0"/>
    <w:rsid w:val="00F05EED"/>
    <w:rsid w:val="00F062B0"/>
    <w:rsid w:val="00F06F02"/>
    <w:rsid w:val="00F077C0"/>
    <w:rsid w:val="00F0783A"/>
    <w:rsid w:val="00F07C4E"/>
    <w:rsid w:val="00F114EF"/>
    <w:rsid w:val="00F122F2"/>
    <w:rsid w:val="00F14351"/>
    <w:rsid w:val="00F15744"/>
    <w:rsid w:val="00F15A4F"/>
    <w:rsid w:val="00F15B05"/>
    <w:rsid w:val="00F165FE"/>
    <w:rsid w:val="00F16BB1"/>
    <w:rsid w:val="00F20046"/>
    <w:rsid w:val="00F202E0"/>
    <w:rsid w:val="00F206FE"/>
    <w:rsid w:val="00F209E0"/>
    <w:rsid w:val="00F20EE3"/>
    <w:rsid w:val="00F21048"/>
    <w:rsid w:val="00F2112D"/>
    <w:rsid w:val="00F21654"/>
    <w:rsid w:val="00F218EF"/>
    <w:rsid w:val="00F21EC3"/>
    <w:rsid w:val="00F230D5"/>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2DF"/>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2FC"/>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3D6F"/>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HR33RHYHUWRF-4-1717</_dlc_DocId>
    <_dlc_DocIdUrl xmlns="c06861ca-3f08-4d07-bff7-bb15bac121f4">
      <Url>https://projects.qualcomm.com/sites/pentari/_layouts/15/DocIdRedir.aspx?ID=HR33RHYHUWRF-4-1717</Url>
      <Description>HR33RHYHUWRF-4-1717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817744-6A20-42D1-AEAD-7BDB892F9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12A0D003-B5A3-4C2A-B312-37597ABA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8</cp:revision>
  <cp:lastPrinted>2016-08-10T22:23:00Z</cp:lastPrinted>
  <dcterms:created xsi:type="dcterms:W3CDTF">2017-09-29T23:07:00Z</dcterms:created>
  <dcterms:modified xsi:type="dcterms:W3CDTF">2017-09-30T03:13:00Z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6f8a8f2a-a0d5-4e43-b47d-962e8f7a439c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